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C509">
      <w:pPr>
        <w:widowControl/>
        <w:spacing w:line="560" w:lineRule="exact"/>
        <w:rPr>
          <w:rFonts w:hint="eastAsia" w:ascii="仿宋_GB2312" w:hAnsi="Times New Roman" w:eastAsia="仿宋_GB2312" w:cs="Times New Roman"/>
          <w:color w:val="222222"/>
          <w:kern w:val="0"/>
          <w:sz w:val="32"/>
          <w:szCs w:val="32"/>
        </w:rPr>
      </w:pPr>
    </w:p>
    <w:p w14:paraId="6AECCD0A">
      <w:pPr>
        <w:spacing w:line="560" w:lineRule="exact"/>
        <w:jc w:val="center"/>
        <w:rPr>
          <w:rFonts w:hint="eastAsia" w:ascii="方正小标宋简体" w:hAnsi="Times New Roman" w:eastAsia="方正小标宋简体" w:cs="Times New Roman"/>
          <w:kern w:val="0"/>
          <w:sz w:val="44"/>
          <w:szCs w:val="44"/>
        </w:rPr>
      </w:pPr>
    </w:p>
    <w:p w14:paraId="752769A3">
      <w:pPr>
        <w:spacing w:line="560" w:lineRule="exact"/>
        <w:jc w:val="center"/>
        <w:rPr>
          <w:rFonts w:hint="eastAsia" w:ascii="方正小标宋简体" w:hAnsi="Times New Roman" w:eastAsia="方正小标宋简体" w:cs="Times New Roman"/>
          <w:kern w:val="0"/>
          <w:sz w:val="44"/>
          <w:szCs w:val="44"/>
        </w:rPr>
      </w:pPr>
    </w:p>
    <w:p w14:paraId="3FAB9D52">
      <w:pPr>
        <w:spacing w:line="560" w:lineRule="exact"/>
        <w:jc w:val="center"/>
        <w:rPr>
          <w:rFonts w:hint="eastAsia" w:ascii="方正小标宋简体" w:hAnsi="Times New Roman" w:eastAsia="方正小标宋简体" w:cs="Times New Roman"/>
          <w:kern w:val="0"/>
          <w:sz w:val="44"/>
          <w:szCs w:val="44"/>
        </w:rPr>
      </w:pPr>
    </w:p>
    <w:p w14:paraId="0EF1D83C">
      <w:pPr>
        <w:spacing w:line="560" w:lineRule="exact"/>
        <w:jc w:val="center"/>
        <w:rPr>
          <w:rFonts w:hint="eastAsia" w:ascii="方正小标宋简体" w:hAnsi="Times New Roman" w:eastAsia="方正小标宋简体" w:cs="Times New Roman"/>
          <w:kern w:val="0"/>
          <w:sz w:val="44"/>
          <w:szCs w:val="44"/>
        </w:rPr>
      </w:pPr>
    </w:p>
    <w:p w14:paraId="2F63F711">
      <w:pPr>
        <w:spacing w:line="560" w:lineRule="exact"/>
        <w:jc w:val="center"/>
        <w:rPr>
          <w:rFonts w:hint="eastAsia" w:ascii="方正小标宋简体" w:hAnsi="Times New Roman" w:eastAsia="方正小标宋简体" w:cs="Times New Roman"/>
          <w:kern w:val="0"/>
          <w:sz w:val="44"/>
          <w:szCs w:val="44"/>
        </w:rPr>
      </w:pPr>
    </w:p>
    <w:p w14:paraId="3A420673">
      <w:pPr>
        <w:spacing w:line="480" w:lineRule="auto"/>
        <w:jc w:val="center"/>
        <w:rPr>
          <w:rFonts w:hint="eastAsia" w:ascii="方正小标宋简体" w:hAnsi="Times New Roman" w:eastAsia="方正小标宋简体" w:cs="Times New Roman"/>
          <w:kern w:val="0"/>
          <w:sz w:val="48"/>
          <w:szCs w:val="48"/>
        </w:rPr>
      </w:pPr>
      <w:r>
        <w:rPr>
          <w:rFonts w:hint="eastAsia" w:ascii="方正小标宋简体" w:hAnsi="Times New Roman" w:eastAsia="方正小标宋简体" w:cs="Times New Roman"/>
          <w:kern w:val="0"/>
          <w:sz w:val="48"/>
          <w:szCs w:val="48"/>
        </w:rPr>
        <w:t>202</w:t>
      </w:r>
      <w:r>
        <w:rPr>
          <w:rFonts w:hint="eastAsia" w:ascii="方正小标宋简体" w:hAnsi="Times New Roman" w:eastAsia="方正小标宋简体" w:cs="Times New Roman"/>
          <w:kern w:val="0"/>
          <w:sz w:val="48"/>
          <w:szCs w:val="48"/>
          <w:lang w:val="en-US" w:eastAsia="zh-CN"/>
        </w:rPr>
        <w:t>4</w:t>
      </w:r>
      <w:r>
        <w:rPr>
          <w:rFonts w:hint="eastAsia" w:ascii="方正小标宋简体" w:hAnsi="Times New Roman" w:eastAsia="方正小标宋简体" w:cs="Times New Roman"/>
          <w:kern w:val="0"/>
          <w:sz w:val="48"/>
          <w:szCs w:val="48"/>
        </w:rPr>
        <w:t>年度</w:t>
      </w:r>
      <w:r>
        <w:rPr>
          <w:rFonts w:hint="eastAsia" w:ascii="方正小标宋简体" w:eastAsia="方正小标宋简体" w:cs="Times New Roman"/>
          <w:kern w:val="0"/>
          <w:sz w:val="48"/>
          <w:szCs w:val="48"/>
          <w:lang w:eastAsia="zh-CN"/>
        </w:rPr>
        <w:t>常德市武陵区人大常委会</w:t>
      </w:r>
      <w:r>
        <w:rPr>
          <w:rFonts w:hint="eastAsia" w:ascii="方正小标宋简体" w:hAnsi="Times New Roman" w:eastAsia="方正小标宋简体" w:cs="Times New Roman"/>
          <w:kern w:val="0"/>
          <w:sz w:val="48"/>
          <w:szCs w:val="48"/>
        </w:rPr>
        <w:t>整体支出绩效自评报告</w:t>
      </w:r>
    </w:p>
    <w:p w14:paraId="4CAA97E3">
      <w:pPr>
        <w:spacing w:line="480" w:lineRule="auto"/>
        <w:jc w:val="center"/>
        <w:rPr>
          <w:rFonts w:hint="eastAsia" w:ascii="方正小标宋简体" w:hAnsi="Times New Roman" w:eastAsia="方正小标宋简体" w:cs="Times New Roman"/>
          <w:kern w:val="0"/>
          <w:sz w:val="48"/>
          <w:szCs w:val="48"/>
        </w:rPr>
      </w:pPr>
    </w:p>
    <w:p w14:paraId="431DE957">
      <w:pPr>
        <w:spacing w:line="480" w:lineRule="auto"/>
        <w:jc w:val="center"/>
        <w:rPr>
          <w:rFonts w:hint="eastAsia" w:ascii="方正小标宋简体" w:hAnsi="Times New Roman" w:eastAsia="方正小标宋简体" w:cs="Times New Roman"/>
          <w:kern w:val="0"/>
          <w:sz w:val="48"/>
          <w:szCs w:val="48"/>
        </w:rPr>
      </w:pPr>
    </w:p>
    <w:p w14:paraId="37A78567">
      <w:pPr>
        <w:spacing w:line="480" w:lineRule="auto"/>
        <w:jc w:val="center"/>
        <w:rPr>
          <w:rFonts w:hint="eastAsia" w:ascii="方正小标宋简体" w:hAnsi="Times New Roman" w:eastAsia="方正小标宋简体" w:cs="Times New Roman"/>
          <w:kern w:val="0"/>
          <w:sz w:val="48"/>
          <w:szCs w:val="48"/>
        </w:rPr>
      </w:pPr>
    </w:p>
    <w:p w14:paraId="4151BEDC">
      <w:pPr>
        <w:spacing w:line="480" w:lineRule="auto"/>
        <w:jc w:val="center"/>
        <w:rPr>
          <w:rFonts w:hint="eastAsia" w:ascii="方正小标宋简体" w:hAnsi="Times New Roman" w:eastAsia="方正小标宋简体" w:cs="Times New Roman"/>
          <w:kern w:val="0"/>
          <w:sz w:val="48"/>
          <w:szCs w:val="48"/>
        </w:rPr>
      </w:pPr>
    </w:p>
    <w:p w14:paraId="60A138D2">
      <w:pPr>
        <w:spacing w:line="480" w:lineRule="auto"/>
        <w:jc w:val="left"/>
        <w:rPr>
          <w:rFonts w:hint="eastAsia" w:ascii="仿宋_GB2312" w:hAnsi="Times New Roman" w:eastAsia="仿宋_GB2312" w:cs="Times New Roman"/>
          <w:kern w:val="0"/>
          <w:sz w:val="32"/>
          <w:szCs w:val="32"/>
        </w:rPr>
      </w:pPr>
    </w:p>
    <w:p w14:paraId="38145A8F">
      <w:pPr>
        <w:spacing w:line="480" w:lineRule="auto"/>
        <w:jc w:val="center"/>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单位名称：</w:t>
      </w:r>
      <w:r>
        <w:rPr>
          <w:rFonts w:hint="eastAsia" w:ascii="仿宋_GB2312" w:eastAsia="仿宋_GB2312" w:cs="Times New Roman"/>
          <w:kern w:val="0"/>
          <w:sz w:val="32"/>
          <w:szCs w:val="32"/>
          <w:u w:val="single"/>
          <w:lang w:eastAsia="zh-CN"/>
        </w:rPr>
        <w:t>常德市武陵区</w:t>
      </w:r>
      <w:r>
        <w:rPr>
          <w:rFonts w:hint="eastAsia" w:ascii="仿宋_GB2312" w:eastAsia="仿宋_GB2312" w:cs="Times New Roman"/>
          <w:kern w:val="0"/>
          <w:sz w:val="32"/>
          <w:szCs w:val="32"/>
          <w:u w:val="single"/>
          <w:lang w:val="en-US" w:eastAsia="zh-CN"/>
        </w:rPr>
        <w:t>人大常委会</w:t>
      </w:r>
    </w:p>
    <w:p w14:paraId="704F43A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2025</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lang w:val="en-US" w:eastAsia="zh-CN"/>
        </w:rPr>
        <w:t>27</w:t>
      </w:r>
      <w:r>
        <w:rPr>
          <w:rFonts w:hint="eastAsia" w:ascii="仿宋_GB2312" w:hAnsi="Times New Roman" w:eastAsia="仿宋_GB2312" w:cs="Times New Roman"/>
          <w:kern w:val="0"/>
          <w:sz w:val="32"/>
          <w:szCs w:val="32"/>
        </w:rPr>
        <w:t>日</w:t>
      </w:r>
    </w:p>
    <w:p w14:paraId="0051EE19">
      <w:pPr>
        <w:spacing w:line="576" w:lineRule="exact"/>
        <w:jc w:val="center"/>
        <w:rPr>
          <w:rFonts w:eastAsia="方正小标宋简体" w:cs="Times New Roman"/>
          <w:w w:val="96"/>
          <w:kern w:val="0"/>
          <w:sz w:val="44"/>
          <w:szCs w:val="44"/>
        </w:rPr>
        <w:sectPr>
          <w:footerReference r:id="rId3" w:type="default"/>
          <w:footerReference r:id="rId4" w:type="even"/>
          <w:pgSz w:w="11906" w:h="16838"/>
          <w:pgMar w:top="2098" w:right="1418" w:bottom="1985" w:left="1531" w:header="851" w:footer="1361" w:gutter="0"/>
          <w:pgNumType w:start="1"/>
          <w:cols w:space="720" w:num="1"/>
          <w:docGrid w:type="lines" w:linePitch="312" w:charSpace="0"/>
        </w:sectPr>
      </w:pPr>
    </w:p>
    <w:p w14:paraId="2DDE5E5C">
      <w:pPr>
        <w:spacing w:line="576" w:lineRule="exact"/>
        <w:jc w:val="center"/>
        <w:rPr>
          <w:rFonts w:eastAsia="方正小标宋简体" w:cs="Times New Roman"/>
          <w:w w:val="96"/>
          <w:kern w:val="0"/>
          <w:sz w:val="44"/>
          <w:szCs w:val="44"/>
        </w:rPr>
      </w:pPr>
      <w:r>
        <w:rPr>
          <w:rFonts w:eastAsia="方正小标宋简体" w:cs="Times New Roman"/>
          <w:w w:val="96"/>
          <w:kern w:val="0"/>
          <w:sz w:val="44"/>
          <w:szCs w:val="44"/>
        </w:rPr>
        <w:t>2024年度武陵区人大</w:t>
      </w:r>
    </w:p>
    <w:p w14:paraId="56B0AD4D">
      <w:pPr>
        <w:spacing w:line="576" w:lineRule="exact"/>
        <w:jc w:val="center"/>
        <w:rPr>
          <w:rFonts w:eastAsia="方正小标宋简体" w:cs="Times New Roman"/>
          <w:w w:val="96"/>
          <w:kern w:val="0"/>
          <w:sz w:val="44"/>
          <w:szCs w:val="44"/>
        </w:rPr>
      </w:pPr>
      <w:r>
        <w:rPr>
          <w:rFonts w:eastAsia="方正小标宋简体" w:cs="Times New Roman"/>
          <w:w w:val="96"/>
          <w:kern w:val="0"/>
          <w:sz w:val="44"/>
          <w:szCs w:val="44"/>
        </w:rPr>
        <w:t>部门整体支出绩效自评报告</w:t>
      </w:r>
    </w:p>
    <w:p w14:paraId="1F0D483D">
      <w:pPr>
        <w:widowControl/>
        <w:spacing w:line="576" w:lineRule="exact"/>
        <w:ind w:firstLine="640"/>
        <w:rPr>
          <w:rFonts w:eastAsia="仿宋" w:cs="Times New Roman"/>
          <w:color w:val="222222"/>
          <w:kern w:val="0"/>
          <w:sz w:val="32"/>
          <w:szCs w:val="32"/>
        </w:rPr>
      </w:pPr>
    </w:p>
    <w:p w14:paraId="7886ECB9">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一、部门概况</w:t>
      </w:r>
    </w:p>
    <w:p w14:paraId="448C589E">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（一）机构、人员构成</w:t>
      </w:r>
    </w:p>
    <w:p w14:paraId="498E722F">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武陵区人大常委会（以下简称区人大）是县处级单位，财政全额拨款一级预算，设人大常委会办公室、代表工作委员会、民族华侨外事委员会、监察和司法委员会、财政经济委员会、教育科学文化卫生委员会、环境与资源保护委员会、农业与农村委员会、社会建设委员会9个正科级委办和预算联网监督事务中心1个副科级事业单位。截至2024年底，机关核定编制40人，实有40人。其中行政编制35人，工勤人员2人，事业编3人。另有退休人员55人。单位负责人：曹慧。地址：湖南省常德市武陵区柳叶大道2938号。</w:t>
      </w:r>
    </w:p>
    <w:p w14:paraId="0D7942BC">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单位资产状况：截至 2024年12月31日止，报表反映固定资产账面原值323.3万元。</w:t>
      </w:r>
    </w:p>
    <w:p w14:paraId="7B04AE43">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（二）单位主要职责</w:t>
      </w:r>
    </w:p>
    <w:p w14:paraId="7BCFB1D7">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1.保证宪法、法律、行政法规和上级人民代表大会及其常务委员会决议的在本区内遵守和执行；</w:t>
      </w:r>
    </w:p>
    <w:p w14:paraId="302A1F0E">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2.领导或主持区人民代表大会代表的选举；</w:t>
      </w:r>
    </w:p>
    <w:p w14:paraId="6508B4D2">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3.召集区人民代表大会会议；</w:t>
      </w:r>
    </w:p>
    <w:p w14:paraId="5A2A981D">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4.讨论、决定本区内的政治、经济、教育、科学、文化、卫</w:t>
      </w:r>
    </w:p>
    <w:p w14:paraId="3C2F3A7B">
      <w:pPr>
        <w:widowControl/>
        <w:spacing w:line="576" w:lineRule="exact"/>
        <w:rPr>
          <w:rFonts w:eastAsia="仿宋" w:cs="Times New Roman"/>
          <w:color w:val="222222"/>
          <w:kern w:val="0"/>
          <w:sz w:val="32"/>
          <w:szCs w:val="32"/>
        </w:rPr>
      </w:pPr>
      <w:r>
        <w:rPr>
          <w:rFonts w:eastAsia="仿宋" w:cs="Times New Roman"/>
          <w:color w:val="222222"/>
          <w:kern w:val="0"/>
          <w:sz w:val="32"/>
          <w:szCs w:val="32"/>
        </w:rPr>
        <w:t>生、环境和资源保护、民政、民族等工作的重大事项；</w:t>
      </w:r>
    </w:p>
    <w:p w14:paraId="4C65B98A">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5.根据区人民政府的建议，决定对本区国民经济和社会发展计划、预算的部分变更；</w:t>
      </w:r>
    </w:p>
    <w:p w14:paraId="3221ACA6">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6.监督区人民政府、区人民法院和区人民检察院的工作，联系区人民代表大会代表，受理人民群众对上述机关和国家工作人员的申诉和意见；</w:t>
      </w:r>
    </w:p>
    <w:p w14:paraId="73F8C5ED">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7.撤销本区内乡镇人民代表大会的不适当的决议；</w:t>
      </w:r>
    </w:p>
    <w:p w14:paraId="4F596183">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8.撤销区人民政府的不适当的决定和命令；</w:t>
      </w:r>
    </w:p>
    <w:p w14:paraId="09ECA3BE">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9.在区人民代表大会闭会期间，决定副区长的个别任免；在区长和区人民法院院长、区人民检察院检察长因故不能担任职务的时候，从区人民政府、区人民法院、区人民检察院副职领导人员中决定代理的人选；决定代理检察长，须报市人民检察院和市人民代表大会常务委员会备案；</w:t>
      </w:r>
    </w:p>
    <w:p w14:paraId="52983F33">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10.根据区长的提名，决定区人民政府工作部门主要负责人的任免，并报上市人民政府备案；</w:t>
      </w:r>
    </w:p>
    <w:p w14:paraId="25220F54">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11.按照人民法院组织法和人民检察院组织法的规定，任免人民法院副院长、庭长、副庭长、审判委员会委员、审判员，任免人民检察院副检察长、检察委员会委员、检察员；</w:t>
      </w:r>
    </w:p>
    <w:p w14:paraId="7C11920B">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12.在区人民代表大会闭会期间，决定撤销个别副区长的职务；决定撤销由它任命的区人民政府其他组成人员和人民法院副院长、庭长、副庭长、审判委员会委员、审判员，人民检察院副检察长、检察委员会委员、检察员的职务；</w:t>
      </w:r>
    </w:p>
    <w:p w14:paraId="2DA84733">
      <w:pPr>
        <w:pStyle w:val="10"/>
        <w:spacing w:line="576" w:lineRule="exact"/>
        <w:ind w:firstLine="640" w:firstLineChars="200"/>
        <w:rPr>
          <w:rFonts w:cs="Times New Roman"/>
        </w:rPr>
      </w:pPr>
      <w:r>
        <w:rPr>
          <w:rFonts w:eastAsia="仿宋" w:cs="Times New Roman"/>
          <w:color w:val="222222"/>
          <w:kern w:val="0"/>
          <w:sz w:val="32"/>
          <w:szCs w:val="32"/>
        </w:rPr>
        <w:t>13.在区人民代表大会闭会期间，补选市人民代表大会出缺</w:t>
      </w:r>
    </w:p>
    <w:p w14:paraId="51C75F78">
      <w:pPr>
        <w:widowControl/>
        <w:spacing w:line="576" w:lineRule="exact"/>
        <w:rPr>
          <w:rFonts w:eastAsia="仿宋" w:cs="Times New Roman"/>
          <w:color w:val="222222"/>
          <w:kern w:val="0"/>
          <w:sz w:val="32"/>
          <w:szCs w:val="32"/>
        </w:rPr>
      </w:pPr>
      <w:r>
        <w:rPr>
          <w:rFonts w:eastAsia="仿宋" w:cs="Times New Roman"/>
          <w:color w:val="222222"/>
          <w:kern w:val="0"/>
          <w:sz w:val="32"/>
          <w:szCs w:val="32"/>
        </w:rPr>
        <w:t>的代表和罢免个别代表。</w:t>
      </w:r>
    </w:p>
    <w:p w14:paraId="1EA4A2A8">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二、部门财务情况</w:t>
      </w:r>
    </w:p>
    <w:p w14:paraId="318AF106">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（一）部门整体支出情况</w:t>
      </w:r>
    </w:p>
    <w:p w14:paraId="4F140769">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2024年区人大部门整体支出1762.01万元，其中财政拨款支出1762.01万元，占本年支出的100%。比上年增加20.57%。部门整体支出增加原因主要是本级财政加大对单位支持力度、保障单位日常运转。其中一般公共服务支出</w:t>
      </w:r>
      <w:r>
        <w:rPr>
          <w:rFonts w:eastAsia="仿宋" w:cs="Times New Roman"/>
          <w:color w:val="000000"/>
          <w:sz w:val="32"/>
          <w:szCs w:val="32"/>
        </w:rPr>
        <w:t>1640.23</w:t>
      </w:r>
      <w:r>
        <w:rPr>
          <w:rFonts w:eastAsia="仿宋" w:cs="Times New Roman"/>
          <w:color w:val="222222"/>
          <w:kern w:val="0"/>
          <w:sz w:val="32"/>
          <w:szCs w:val="32"/>
        </w:rPr>
        <w:t>万元，占比93.09%；社会保障和就业支出121.78万元，占比6.91%。</w:t>
      </w:r>
    </w:p>
    <w:p w14:paraId="06C2566D">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（二）部门预算收支决算情况</w:t>
      </w:r>
    </w:p>
    <w:p w14:paraId="08F576F8">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2024年区人大部门预算收入1833.61万元，其中一般公共预算拨款收入1833.61万元。2024年武陵区人大部门预算支出1833.61万元，其中：基本支出1203.58万元，占65.64%；项目支出630.03万元，占34.36%。</w:t>
      </w:r>
    </w:p>
    <w:p w14:paraId="41FEEEAF">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2024年区人大本年收入决算数1762.01万元，其中财政拨款收入1762.01万元，占本年收入的100%。</w:t>
      </w:r>
    </w:p>
    <w:p w14:paraId="6142A9B6">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2024年本年支出1762.01万元，其中基本支出1159.28万元，占65.79%；项目支出602.73万元，占34.21%。</w:t>
      </w:r>
    </w:p>
    <w:p w14:paraId="39E89830">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（三） “三公经费”支出使用和管理情况</w:t>
      </w:r>
    </w:p>
    <w:p w14:paraId="39D44874">
      <w:pPr>
        <w:widowControl/>
        <w:spacing w:line="576" w:lineRule="exact"/>
        <w:ind w:firstLine="640"/>
        <w:rPr>
          <w:rFonts w:hint="eastAsia" w:eastAsia="仿宋" w:cs="Times New Roman"/>
          <w:color w:val="222222"/>
          <w:kern w:val="0"/>
          <w:sz w:val="32"/>
          <w:szCs w:val="32"/>
        </w:rPr>
      </w:pPr>
      <w:r>
        <w:rPr>
          <w:rFonts w:eastAsia="仿宋" w:cs="Times New Roman"/>
          <w:color w:val="222222"/>
          <w:kern w:val="0"/>
          <w:sz w:val="32"/>
          <w:szCs w:val="32"/>
        </w:rPr>
        <w:t>2024年区人大三公经费支出6.15万元，较上年增加5.4万元，。其中：公务用车购置及运行维护费支出0万元，公务接待</w:t>
      </w:r>
    </w:p>
    <w:p w14:paraId="12F22AE9">
      <w:pPr>
        <w:widowControl/>
        <w:spacing w:line="576" w:lineRule="exact"/>
        <w:rPr>
          <w:rFonts w:hint="eastAsia" w:eastAsia="仿宋" w:cs="Times New Roman"/>
          <w:color w:val="222222"/>
          <w:kern w:val="0"/>
          <w:sz w:val="32"/>
          <w:szCs w:val="32"/>
        </w:rPr>
      </w:pPr>
      <w:r>
        <w:rPr>
          <w:rFonts w:eastAsia="仿宋" w:cs="Times New Roman"/>
          <w:color w:val="222222"/>
          <w:kern w:val="0"/>
          <w:sz w:val="32"/>
          <w:szCs w:val="32"/>
        </w:rPr>
        <w:t>费支出6.15万元，因公出国出境支出0万元。三公经费支出减少</w:t>
      </w:r>
    </w:p>
    <w:p w14:paraId="64C4124C">
      <w:pPr>
        <w:widowControl/>
        <w:spacing w:line="576" w:lineRule="exact"/>
        <w:rPr>
          <w:rFonts w:eastAsia="仿宋" w:cs="Times New Roman"/>
          <w:kern w:val="0"/>
          <w:sz w:val="32"/>
          <w:szCs w:val="32"/>
        </w:rPr>
      </w:pPr>
      <w:r>
        <w:rPr>
          <w:rFonts w:eastAsia="仿宋" w:cs="Times New Roman"/>
          <w:color w:val="222222"/>
          <w:kern w:val="0"/>
          <w:sz w:val="32"/>
          <w:szCs w:val="32"/>
        </w:rPr>
        <w:t>的原因主要是接待批次、人次增加及部分上年开支在本期支付。</w:t>
      </w:r>
    </w:p>
    <w:p w14:paraId="068DC16C">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三、部门绩效目标</w:t>
      </w:r>
    </w:p>
    <w:p w14:paraId="1C127457">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（一）部门绩效总目标</w:t>
      </w:r>
    </w:p>
    <w:p w14:paraId="1E8F4726">
      <w:pPr>
        <w:widowControl/>
        <w:spacing w:line="576" w:lineRule="exact"/>
        <w:ind w:firstLine="640"/>
        <w:rPr>
          <w:rFonts w:eastAsia="仿宋" w:cs="Times New Roman"/>
          <w:color w:val="222222"/>
          <w:kern w:val="0"/>
          <w:sz w:val="32"/>
          <w:szCs w:val="32"/>
        </w:rPr>
      </w:pPr>
      <w:r>
        <w:rPr>
          <w:rFonts w:eastAsia="仿宋" w:cs="Times New Roman"/>
          <w:color w:val="222222"/>
          <w:kern w:val="0"/>
          <w:sz w:val="32"/>
          <w:szCs w:val="32"/>
        </w:rPr>
        <w:t>贯彻和执行本行政区域内宪法、法律、行政法规和上级人民代表大会及其常务委员会决议，坚定不移服务发展大局。保证机关工作正常运行，经常召开常委会会议和主任会议，增强监督实效。审议事项，按时办结，多措并举夯实基层基础。</w:t>
      </w:r>
    </w:p>
    <w:p w14:paraId="037FEB92">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（二）2024年度部门绩效目标</w:t>
      </w:r>
    </w:p>
    <w:p w14:paraId="1EB97189">
      <w:pPr>
        <w:widowControl/>
        <w:spacing w:line="576" w:lineRule="exact"/>
        <w:ind w:firstLine="640" w:firstLineChars="200"/>
        <w:rPr>
          <w:rFonts w:eastAsia="仿宋" w:cs="Times New Roman"/>
          <w:kern w:val="0"/>
          <w:sz w:val="32"/>
          <w:szCs w:val="32"/>
        </w:rPr>
      </w:pPr>
      <w:r>
        <w:rPr>
          <w:rFonts w:eastAsia="仿宋" w:cs="Times New Roman"/>
          <w:kern w:val="0"/>
          <w:sz w:val="32"/>
          <w:szCs w:val="32"/>
        </w:rPr>
        <w:t>1.召开人民代表大会1次；召开常委会会议6次；审议决定事项9项；召开专题主任会议3次；召开乡街人大工作会议2次；审议报告事项22项；</w:t>
      </w:r>
    </w:p>
    <w:p w14:paraId="16F507A7">
      <w:pPr>
        <w:widowControl/>
        <w:spacing w:line="576" w:lineRule="exact"/>
        <w:ind w:firstLine="640" w:firstLineChars="200"/>
        <w:rPr>
          <w:rFonts w:eastAsia="仿宋" w:cs="Times New Roman"/>
          <w:kern w:val="0"/>
          <w:sz w:val="32"/>
          <w:szCs w:val="32"/>
        </w:rPr>
      </w:pPr>
      <w:r>
        <w:rPr>
          <w:rFonts w:eastAsia="仿宋" w:cs="Times New Roman"/>
          <w:kern w:val="0"/>
          <w:sz w:val="32"/>
          <w:szCs w:val="32"/>
        </w:rPr>
        <w:t>2.开展视察调研活动5次；督办完成重点建议案6件；接受司法机关报备重大案件150件；在各级媒体上稿150篇；</w:t>
      </w:r>
    </w:p>
    <w:p w14:paraId="29F0C2D3">
      <w:pPr>
        <w:widowControl/>
        <w:spacing w:line="576" w:lineRule="exact"/>
        <w:ind w:firstLine="640" w:firstLineChars="200"/>
        <w:rPr>
          <w:rFonts w:eastAsia="仿宋" w:cs="Times New Roman"/>
          <w:kern w:val="0"/>
          <w:sz w:val="32"/>
          <w:szCs w:val="32"/>
          <w:highlight w:val="yellow"/>
        </w:rPr>
      </w:pPr>
      <w:r>
        <w:rPr>
          <w:rFonts w:eastAsia="仿宋" w:cs="Times New Roman"/>
          <w:kern w:val="0"/>
          <w:sz w:val="32"/>
          <w:szCs w:val="32"/>
          <w:highlight w:val="none"/>
        </w:rPr>
        <w:t>3.</w:t>
      </w:r>
      <w:r>
        <w:rPr>
          <w:rFonts w:eastAsia="仿宋" w:cs="Times New Roman"/>
          <w:kern w:val="0"/>
          <w:sz w:val="32"/>
          <w:szCs w:val="32"/>
        </w:rPr>
        <w:t>2024年区人大常委会审议决定工作落实率100%；</w:t>
      </w:r>
    </w:p>
    <w:p w14:paraId="2BD896F2">
      <w:pPr>
        <w:widowControl/>
        <w:spacing w:line="576" w:lineRule="exact"/>
        <w:ind w:firstLine="640" w:firstLineChars="200"/>
        <w:rPr>
          <w:rFonts w:hint="default" w:eastAsia="仿宋" w:cs="Times New Roman"/>
          <w:kern w:val="0"/>
          <w:sz w:val="32"/>
          <w:szCs w:val="32"/>
          <w:lang w:val="en-US" w:eastAsia="zh-CN"/>
        </w:rPr>
      </w:pPr>
      <w:r>
        <w:rPr>
          <w:rFonts w:eastAsia="仿宋" w:cs="Times New Roman"/>
          <w:kern w:val="0"/>
          <w:sz w:val="32"/>
          <w:szCs w:val="32"/>
        </w:rPr>
        <w:t>4.</w:t>
      </w:r>
      <w:r>
        <w:rPr>
          <w:rFonts w:hint="eastAsia" w:eastAsia="仿宋" w:cs="Times New Roman"/>
          <w:kern w:val="0"/>
          <w:sz w:val="32"/>
          <w:szCs w:val="32"/>
          <w:lang w:eastAsia="zh-CN"/>
        </w:rPr>
        <w:t>落实代表轮训计划</w:t>
      </w:r>
      <w:r>
        <w:rPr>
          <w:rFonts w:hint="eastAsia" w:eastAsia="仿宋" w:cs="Times New Roman"/>
          <w:kern w:val="0"/>
          <w:sz w:val="32"/>
          <w:szCs w:val="32"/>
          <w:lang w:val="en-US" w:eastAsia="zh-CN"/>
        </w:rPr>
        <w:t>1次；</w:t>
      </w:r>
    </w:p>
    <w:p w14:paraId="0822E4E0">
      <w:pPr>
        <w:widowControl/>
        <w:spacing w:line="576" w:lineRule="exact"/>
        <w:ind w:firstLine="640" w:firstLineChars="200"/>
        <w:rPr>
          <w:rFonts w:eastAsia="仿宋" w:cs="Times New Roman"/>
          <w:kern w:val="0"/>
          <w:sz w:val="32"/>
          <w:szCs w:val="32"/>
        </w:rPr>
      </w:pPr>
      <w:r>
        <w:rPr>
          <w:rFonts w:eastAsia="仿宋" w:cs="Times New Roman"/>
          <w:kern w:val="0"/>
          <w:sz w:val="32"/>
          <w:szCs w:val="32"/>
        </w:rPr>
        <w:t>5.各项案件、反馈问题处理率98%；代表建议办理率100%；</w:t>
      </w:r>
    </w:p>
    <w:p w14:paraId="5D62F1AF">
      <w:pPr>
        <w:widowControl/>
        <w:spacing w:line="576" w:lineRule="exact"/>
        <w:ind w:firstLine="640" w:firstLineChars="200"/>
        <w:rPr>
          <w:rFonts w:eastAsia="仿宋" w:cs="Times New Roman"/>
          <w:kern w:val="0"/>
          <w:sz w:val="32"/>
          <w:szCs w:val="32"/>
        </w:rPr>
      </w:pPr>
      <w:r>
        <w:rPr>
          <w:rFonts w:eastAsia="仿宋" w:cs="Times New Roman"/>
          <w:kern w:val="0"/>
          <w:sz w:val="32"/>
          <w:szCs w:val="32"/>
        </w:rPr>
        <w:t>6.根据单位工作开展或项目实施的影响面，群众满意度90%以上。</w:t>
      </w:r>
    </w:p>
    <w:p w14:paraId="39F19B9B">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四、绩效评价工作情况</w:t>
      </w:r>
    </w:p>
    <w:p w14:paraId="3D3CEE42">
      <w:pPr>
        <w:widowControl/>
        <w:spacing w:line="576" w:lineRule="exact"/>
        <w:ind w:firstLine="640"/>
        <w:rPr>
          <w:rFonts w:hint="eastAsia" w:eastAsia="仿宋" w:cs="Times New Roman"/>
          <w:color w:val="222222"/>
          <w:kern w:val="0"/>
          <w:sz w:val="32"/>
          <w:szCs w:val="32"/>
        </w:rPr>
      </w:pPr>
      <w:r>
        <w:rPr>
          <w:rFonts w:eastAsia="仿宋" w:cs="Times New Roman"/>
          <w:color w:val="222222"/>
          <w:kern w:val="0"/>
          <w:sz w:val="32"/>
          <w:szCs w:val="32"/>
        </w:rPr>
        <w:t>我单位接到财政局通知后，成立了评价小组，结合项目实际</w:t>
      </w:r>
    </w:p>
    <w:p w14:paraId="3F7CCF31">
      <w:pPr>
        <w:widowControl/>
        <w:spacing w:line="576" w:lineRule="exact"/>
        <w:rPr>
          <w:rFonts w:eastAsia="黑体" w:cs="Times New Roman"/>
          <w:color w:val="222222"/>
          <w:kern w:val="0"/>
          <w:sz w:val="32"/>
          <w:szCs w:val="32"/>
        </w:rPr>
      </w:pPr>
      <w:r>
        <w:rPr>
          <w:rFonts w:eastAsia="仿宋" w:cs="Times New Roman"/>
          <w:color w:val="222222"/>
          <w:kern w:val="0"/>
          <w:sz w:val="32"/>
          <w:szCs w:val="32"/>
        </w:rPr>
        <w:t>情况制定了绩效评价方案。评价实施过程中根据拟定方案，经过</w:t>
      </w:r>
    </w:p>
    <w:p w14:paraId="734D310E">
      <w:pPr>
        <w:widowControl/>
        <w:spacing w:line="576" w:lineRule="exact"/>
        <w:rPr>
          <w:rFonts w:eastAsia="仿宋" w:cs="Times New Roman"/>
          <w:color w:val="222222"/>
          <w:kern w:val="0"/>
          <w:sz w:val="32"/>
          <w:szCs w:val="32"/>
        </w:rPr>
      </w:pPr>
      <w:r>
        <w:rPr>
          <w:rFonts w:eastAsia="仿宋" w:cs="Times New Roman"/>
          <w:color w:val="222222"/>
          <w:kern w:val="0"/>
          <w:sz w:val="32"/>
          <w:szCs w:val="32"/>
        </w:rPr>
        <w:t>收集资料、问卷调查、综合分析等程序后，形成本绩效自评报告。</w:t>
      </w:r>
    </w:p>
    <w:p w14:paraId="0E5D3DD1">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五、综合评价结果</w:t>
      </w:r>
    </w:p>
    <w:p w14:paraId="61EF5F91">
      <w:pPr>
        <w:spacing w:line="576" w:lineRule="exact"/>
        <w:ind w:left="420" w:leftChars="200"/>
        <w:rPr>
          <w:rFonts w:eastAsia="仿宋" w:cs="Times New Roman"/>
          <w:color w:val="0000FF"/>
          <w:kern w:val="0"/>
          <w:sz w:val="32"/>
          <w:szCs w:val="32"/>
        </w:rPr>
      </w:pPr>
      <w:r>
        <w:rPr>
          <w:rFonts w:eastAsia="仿宋" w:cs="Times New Roman"/>
          <w:color w:val="000000"/>
          <w:kern w:val="0"/>
          <w:sz w:val="32"/>
          <w:szCs w:val="32"/>
        </w:rPr>
        <w:t>经综合评价，区人大 2024年部门整体支出绩效评价得分</w:t>
      </w:r>
      <w:r>
        <w:rPr>
          <w:rFonts w:eastAsia="仿宋" w:cs="Times New Roman"/>
          <w:kern w:val="0"/>
          <w:sz w:val="32"/>
          <w:szCs w:val="32"/>
        </w:rPr>
        <w:t>97</w:t>
      </w:r>
    </w:p>
    <w:p w14:paraId="0CD2CF28">
      <w:pPr>
        <w:widowControl/>
        <w:spacing w:line="576" w:lineRule="exact"/>
        <w:rPr>
          <w:rFonts w:eastAsia="仿宋" w:cs="Times New Roman"/>
          <w:color w:val="000000"/>
          <w:sz w:val="32"/>
          <w:szCs w:val="32"/>
        </w:rPr>
      </w:pPr>
      <w:r>
        <w:rPr>
          <w:rFonts w:eastAsia="仿宋" w:cs="Times New Roman"/>
          <w:color w:val="000000"/>
          <w:kern w:val="0"/>
          <w:sz w:val="32"/>
          <w:szCs w:val="32"/>
        </w:rPr>
        <w:t>分，评价结果为“ 优”。</w:t>
      </w:r>
    </w:p>
    <w:p w14:paraId="56F42845">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六、部门整体支出绩效情况</w:t>
      </w:r>
    </w:p>
    <w:p w14:paraId="66992C90">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 xml:space="preserve">（一）绩效目标完成情况 </w:t>
      </w:r>
    </w:p>
    <w:p w14:paraId="4C84421D">
      <w:pPr>
        <w:spacing w:line="576" w:lineRule="exact"/>
        <w:ind w:firstLine="643" w:firstLineChars="200"/>
        <w:rPr>
          <w:rFonts w:eastAsia="仿宋" w:cs="Times New Roman"/>
          <w:sz w:val="32"/>
          <w:szCs w:val="32"/>
        </w:rPr>
      </w:pPr>
      <w:r>
        <w:rPr>
          <w:rFonts w:eastAsia="仿宋" w:cs="Times New Roman"/>
          <w:b/>
          <w:sz w:val="32"/>
          <w:szCs w:val="32"/>
        </w:rPr>
        <w:t>坚持不懈抓好理论武装。</w:t>
      </w:r>
      <w:r>
        <w:rPr>
          <w:rFonts w:eastAsia="仿宋" w:cs="Times New Roman"/>
          <w:sz w:val="32"/>
          <w:szCs w:val="32"/>
        </w:rPr>
        <w:t>坚持以习近平新时代中国特色社会主义思想定向领航，深化落实“第一议题”制度，组织开展党组理论学习中心组学习13次，促进把准政治方向、提升政治能力。主任会议成员分赴联点单位、基层一线，深入学习宣讲习近平总书记在党的二十届三中全会、庆祝全国人民代表大会成立70周年大会以及考察湖南重要讲话和指示精神，推动学出政治忠诚、学出信仰坚定、学出制度自信。紧扣“纪念人民代表大会制度建</w:t>
      </w:r>
      <w:r>
        <w:rPr>
          <w:rFonts w:eastAsia="仿宋" w:cs="Times New Roman"/>
          <w:spacing w:val="-6"/>
          <w:sz w:val="32"/>
          <w:szCs w:val="32"/>
        </w:rPr>
        <w:t>立70周年”主题，策划安排人大制度理论研讨工作，围绕制度溯源、</w:t>
      </w:r>
      <w:r>
        <w:rPr>
          <w:rFonts w:eastAsia="仿宋" w:cs="Times New Roman"/>
          <w:sz w:val="32"/>
          <w:szCs w:val="32"/>
        </w:rPr>
        <w:t>代表实践、履职探索等课题开展研究，形成优秀研讨成果24篇。</w:t>
      </w:r>
    </w:p>
    <w:p w14:paraId="0BB6F0D9">
      <w:pPr>
        <w:spacing w:line="576" w:lineRule="exact"/>
        <w:ind w:firstLine="643" w:firstLineChars="200"/>
        <w:rPr>
          <w:rFonts w:eastAsia="仿宋" w:cs="Times New Roman"/>
          <w:sz w:val="32"/>
          <w:szCs w:val="32"/>
        </w:rPr>
      </w:pPr>
      <w:r>
        <w:rPr>
          <w:rFonts w:eastAsia="仿宋" w:cs="Times New Roman"/>
          <w:b/>
          <w:sz w:val="32"/>
          <w:szCs w:val="32"/>
        </w:rPr>
        <w:t>毫不动摇坚持党的领导。</w:t>
      </w:r>
      <w:r>
        <w:rPr>
          <w:rFonts w:eastAsia="仿宋" w:cs="Times New Roman"/>
          <w:sz w:val="32"/>
          <w:szCs w:val="32"/>
        </w:rPr>
        <w:t>区委高度重视人大工作，定期听取人大常委会党组工作汇报，主要领导带头参加人大重要会议、重大活动，为做好人大工作交任务、提要求、作批示，全力支持和保障人大依法行权。常委会党组坚定不移坚持党的领导，及时就人大领域重要情况、重要事项向区委请示报告，确保人大工作始终沿着正确的政治方向前进。坚持党管干部和人大依法任免有机统一，全年依法任免国家机关工作人员50人次，补选市、区人大代表35名，圆满实现区委人事意图。</w:t>
      </w:r>
    </w:p>
    <w:p w14:paraId="2BFE64FA">
      <w:pPr>
        <w:widowControl/>
        <w:spacing w:line="576" w:lineRule="exact"/>
        <w:ind w:firstLine="643" w:firstLineChars="200"/>
        <w:jc w:val="left"/>
        <w:rPr>
          <w:rFonts w:eastAsia="仿宋" w:cs="Times New Roman"/>
          <w:sz w:val="32"/>
          <w:szCs w:val="32"/>
        </w:rPr>
      </w:pPr>
      <w:r>
        <w:rPr>
          <w:rFonts w:eastAsia="仿宋" w:cs="Times New Roman"/>
          <w:b/>
          <w:sz w:val="32"/>
          <w:szCs w:val="32"/>
        </w:rPr>
        <w:t>坚定不移贯彻区委决策。</w:t>
      </w:r>
      <w:r>
        <w:rPr>
          <w:rFonts w:eastAsia="仿宋" w:cs="Times New Roman"/>
          <w:sz w:val="32"/>
          <w:szCs w:val="32"/>
        </w:rPr>
        <w:t>坚决做到区委有部署，人大有行动。按照区委工作安排，主任会议成员深度融入“锚定‘三个高地’、推进‘二次创业’”和“两重”“两新”送解优专项行动，牵头或参与产业专项小组工作，点对点高效督导，面对面纾难解困，确保区委决策部署落地见效。全区各级人大代表和人大干部主动投身招商引资、项目建设、生态环保、乡村振兴、基层治理等中心工作，在服从服务全区发展大局中贡献智慧和力量。</w:t>
      </w:r>
    </w:p>
    <w:p w14:paraId="3EF801F2">
      <w:pPr>
        <w:spacing w:line="576" w:lineRule="exact"/>
        <w:ind w:firstLine="643" w:firstLineChars="200"/>
        <w:rPr>
          <w:rFonts w:eastAsia="仿宋" w:cs="Times New Roman"/>
          <w:sz w:val="32"/>
          <w:szCs w:val="32"/>
        </w:rPr>
      </w:pPr>
      <w:r>
        <w:rPr>
          <w:rFonts w:eastAsia="仿宋" w:cs="Times New Roman"/>
          <w:b/>
          <w:sz w:val="32"/>
          <w:szCs w:val="32"/>
        </w:rPr>
        <w:t>代表服务高质高效。</w:t>
      </w:r>
      <w:r>
        <w:rPr>
          <w:rFonts w:eastAsia="仿宋" w:cs="Times New Roman"/>
          <w:sz w:val="32"/>
          <w:szCs w:val="32"/>
        </w:rPr>
        <w:t>主任会议成员定期走访联系各级人大代表，了解履职动态，听取意见建议，增强代表履职责任感和使命感。举办专题学习培训班2期，对106名区人大代表进行集中轮训，不断提升代表的政治素养和履职能力。坚持为代表订阅《人民之友》杂志，主动邀请代表列席常委会、政情通报会、工作评议会，为代表知情明政、依法履职创造有利条件。完善“湖南智慧人大”代表履职系统，开通“码上找代表”服务功能，让群众发声更便捷，让代表履职更高效。</w:t>
      </w:r>
      <w:r>
        <w:rPr>
          <w:rFonts w:eastAsia="楷体" w:cs="Times New Roman"/>
          <w:sz w:val="32"/>
          <w:szCs w:val="32"/>
        </w:rPr>
        <w:t>代表活动有声有色。</w:t>
      </w:r>
      <w:r>
        <w:rPr>
          <w:rFonts w:eastAsia="仿宋" w:cs="Times New Roman"/>
          <w:sz w:val="32"/>
          <w:szCs w:val="32"/>
        </w:rPr>
        <w:t>用好用活乡街人大代表联络站，扎实开展“双联双访”主题实践活动，组织国、省、市、区、乡五级人大代表集中进站，参与执法检查、视察调研、听证座谈等800多人次，收集反映代表建议92条，向12345政务服务热线反映意见27条，推动问题解决87个，工作成效得到省、市人大充分肯定。区委主要领导率先垂范，多次以普通代表身份深入企业、园区调研营商环境，指导企业技术创新、降本增效、拓展市场等工作。认真组织市八届人大武陵代表小组开展慈善捐赠、公益助残、未成年人关怀等社会公益活动，开展驻区市人大代表向常委会述职、建议提交等工作。</w:t>
      </w:r>
      <w:r>
        <w:rPr>
          <w:rFonts w:eastAsia="楷体" w:cs="Times New Roman"/>
          <w:sz w:val="32"/>
          <w:szCs w:val="32"/>
        </w:rPr>
        <w:t>代表建议办实办好。</w:t>
      </w:r>
      <w:r>
        <w:rPr>
          <w:rFonts w:eastAsia="仿宋" w:cs="Times New Roman"/>
          <w:sz w:val="32"/>
          <w:szCs w:val="32"/>
        </w:rPr>
        <w:t>坚持“内容高质量、办理高质量”，完善代表建议“办前审核、办中沟通、办后检查、跟踪督办”工作机制，组织代表参与建议办理、答复、回访等环节工作，专题听取代表建议办理工作情况报告，推动建议办理质量不断提高。区十八届人大四次会议期间共收到代表建议、批评和意见69件，其中6件被确定为重点督办建议，由主任会议成员牵头、委室对口联系办理。目前，所有代表建议已全部办理、逐件答复，满意率100%，一批建议转化为促发展、惠民生、暖民心的务实举措。</w:t>
      </w:r>
    </w:p>
    <w:p w14:paraId="263BE13F">
      <w:pPr>
        <w:widowControl/>
        <w:spacing w:line="576" w:lineRule="exact"/>
        <w:ind w:firstLine="640"/>
        <w:rPr>
          <w:rFonts w:eastAsia="楷体" w:cs="Times New Roman"/>
          <w:color w:val="222222"/>
          <w:kern w:val="0"/>
          <w:sz w:val="32"/>
          <w:szCs w:val="32"/>
        </w:rPr>
      </w:pPr>
      <w:r>
        <w:rPr>
          <w:rFonts w:eastAsia="楷体" w:cs="Times New Roman"/>
          <w:color w:val="222222"/>
          <w:kern w:val="0"/>
          <w:sz w:val="32"/>
          <w:szCs w:val="32"/>
        </w:rPr>
        <w:t>（二）产生的主要效益情况</w:t>
      </w:r>
    </w:p>
    <w:p w14:paraId="36CFD2DC">
      <w:pPr>
        <w:spacing w:line="576" w:lineRule="exact"/>
        <w:ind w:firstLine="643" w:firstLineChars="200"/>
        <w:rPr>
          <w:rFonts w:eastAsia="仿宋" w:cs="Times New Roman"/>
          <w:sz w:val="32"/>
          <w:szCs w:val="32"/>
        </w:rPr>
      </w:pPr>
      <w:r>
        <w:rPr>
          <w:rFonts w:eastAsia="仿宋" w:cs="Times New Roman"/>
          <w:b/>
          <w:color w:val="222222"/>
          <w:kern w:val="0"/>
          <w:sz w:val="32"/>
          <w:szCs w:val="32"/>
        </w:rPr>
        <w:t>1.</w:t>
      </w:r>
      <w:r>
        <w:rPr>
          <w:rFonts w:eastAsia="仿宋" w:cs="Times New Roman"/>
          <w:b/>
          <w:sz w:val="32"/>
          <w:szCs w:val="32"/>
        </w:rPr>
        <w:t>经济效益情况</w:t>
      </w:r>
      <w:r>
        <w:rPr>
          <w:rFonts w:eastAsia="仿宋" w:cs="Times New Roman"/>
          <w:b/>
          <w:color w:val="222222"/>
          <w:kern w:val="0"/>
          <w:sz w:val="32"/>
          <w:szCs w:val="32"/>
        </w:rPr>
        <w:t>：</w:t>
      </w:r>
      <w:r>
        <w:rPr>
          <w:rFonts w:eastAsia="仿宋" w:cs="Times New Roman"/>
          <w:b/>
          <w:sz w:val="32"/>
          <w:szCs w:val="32"/>
        </w:rPr>
        <w:t>助力经济回升向好。</w:t>
      </w:r>
      <w:r>
        <w:rPr>
          <w:rFonts w:eastAsia="仿宋" w:cs="Times New Roman"/>
          <w:bCs/>
          <w:sz w:val="32"/>
          <w:szCs w:val="32"/>
        </w:rPr>
        <w:t>加强财政审查监督，</w:t>
      </w:r>
      <w:r>
        <w:rPr>
          <w:rFonts w:eastAsia="仿宋" w:cs="Times New Roman"/>
          <w:sz w:val="32"/>
          <w:szCs w:val="32"/>
        </w:rPr>
        <w:t>听取和审议预算执行、预算调整、预算绩效管理等情况报告，审查批准区级财政决算、预算调整方案，推动规范预算行为，提高资金使用效率。听取和审议财政收支审计、审计查出问题整改等情况报告，对12家单位审计查出问题开展专项监督，推动问题整改35个。听取和</w:t>
      </w:r>
      <w:r>
        <w:rPr>
          <w:rFonts w:eastAsia="仿宋" w:cs="Times New Roman"/>
          <w:spacing w:val="-6"/>
          <w:sz w:val="32"/>
          <w:szCs w:val="32"/>
        </w:rPr>
        <w:t>审议国有资产和政府债务管理情况报告，督促政府夯实管理基础、</w:t>
      </w:r>
      <w:r>
        <w:rPr>
          <w:rFonts w:eastAsia="仿宋" w:cs="Times New Roman"/>
          <w:sz w:val="32"/>
          <w:szCs w:val="32"/>
        </w:rPr>
        <w:t>深化国企改革、加强债务管控。</w:t>
      </w:r>
      <w:r>
        <w:rPr>
          <w:rFonts w:eastAsia="仿宋" w:cs="Times New Roman"/>
          <w:bCs/>
          <w:sz w:val="32"/>
          <w:szCs w:val="32"/>
        </w:rPr>
        <w:t>密切关注经济运行，</w:t>
      </w:r>
      <w:r>
        <w:rPr>
          <w:rFonts w:eastAsia="仿宋" w:cs="Times New Roman"/>
          <w:sz w:val="32"/>
          <w:szCs w:val="32"/>
        </w:rPr>
        <w:t>听取和审议国民经济和社会发展计划执行情况报告，研判经济运行状况，助推经济结构持续优化、增长动能持续增强。听取和审议重点项目完成和计划安排情况报告，建议政府抢抓机遇、争取政策、优化环境、保障要素，促进重点项目按时按质完成。听取外贸工作情况报告，建议政府全力挖潜、合力攻关，加快培育外贸发展新动能。听取和审议文旅融合发展情况报告，支持政府强化文旅融合发展的系统谋划和科学布局，全力答好融合发展命题。</w:t>
      </w:r>
      <w:r>
        <w:rPr>
          <w:rFonts w:eastAsia="仿宋" w:cs="Times New Roman"/>
          <w:bCs/>
          <w:sz w:val="32"/>
          <w:szCs w:val="32"/>
        </w:rPr>
        <w:t>紧盯营商环境优化，</w:t>
      </w:r>
      <w:r>
        <w:rPr>
          <w:rFonts w:eastAsia="仿宋" w:cs="Times New Roman"/>
          <w:sz w:val="32"/>
          <w:szCs w:val="32"/>
        </w:rPr>
        <w:t>坚持“区委领导、人大主导、代表主体”的工作思路，依法评议全区32个部门及单位依法行政、政策落实、作风建设等情况，监督推动重点问题整改50个。</w:t>
      </w:r>
    </w:p>
    <w:p w14:paraId="7983A076">
      <w:pPr>
        <w:spacing w:line="576" w:lineRule="exact"/>
        <w:ind w:firstLine="643" w:firstLineChars="200"/>
        <w:rPr>
          <w:rFonts w:eastAsia="仿宋" w:cs="Times New Roman"/>
          <w:sz w:val="32"/>
          <w:szCs w:val="32"/>
        </w:rPr>
      </w:pPr>
      <w:r>
        <w:rPr>
          <w:rFonts w:eastAsia="仿宋" w:cs="Times New Roman"/>
          <w:b/>
          <w:kern w:val="0"/>
          <w:sz w:val="32"/>
          <w:szCs w:val="32"/>
        </w:rPr>
        <w:t>2.社会效益情况：</w:t>
      </w:r>
      <w:r>
        <w:rPr>
          <w:rFonts w:eastAsia="仿宋" w:cs="Times New Roman"/>
          <w:b/>
          <w:sz w:val="32"/>
          <w:szCs w:val="32"/>
        </w:rPr>
        <w:t>助力民生福祉改善。</w:t>
      </w:r>
      <w:r>
        <w:rPr>
          <w:rFonts w:eastAsia="仿宋" w:cs="Times New Roman"/>
          <w:bCs/>
          <w:sz w:val="32"/>
          <w:szCs w:val="32"/>
        </w:rPr>
        <w:t>聚焦民生实事推进，</w:t>
      </w:r>
      <w:r>
        <w:rPr>
          <w:rFonts w:eastAsia="仿宋" w:cs="Times New Roman"/>
          <w:sz w:val="32"/>
          <w:szCs w:val="32"/>
        </w:rPr>
        <w:t>专题调研全区重点民生实事项目，支持政府兜牢民生底线、补齐民生短板、办好民生实事，不断提高武陵人民幸福指数。芦荻山、丹洲乡、石门桥镇、白鹤镇组织代表依法票决6个民生实事项目，累计投入建设资金548万元，切实解决一批群众急难愁盼问题。</w:t>
      </w:r>
      <w:r>
        <w:rPr>
          <w:rFonts w:eastAsia="仿宋" w:cs="Times New Roman"/>
          <w:bCs/>
          <w:sz w:val="32"/>
          <w:szCs w:val="32"/>
        </w:rPr>
        <w:t>聚焦医保基金安全，</w:t>
      </w:r>
      <w:r>
        <w:rPr>
          <w:rFonts w:eastAsia="仿宋" w:cs="Times New Roman"/>
          <w:sz w:val="32"/>
          <w:szCs w:val="32"/>
        </w:rPr>
        <w:t>听取和审议专项工作报告，推动政府加强基金智能化监管，实现医保基金监管人防、技防同步发力，筛查存疑数据6000余条，累计追回和拒付医保基金120余万元。</w:t>
      </w:r>
      <w:r>
        <w:rPr>
          <w:rFonts w:eastAsia="仿宋" w:cs="Times New Roman"/>
          <w:bCs/>
          <w:sz w:val="32"/>
          <w:szCs w:val="32"/>
        </w:rPr>
        <w:t>聚焦农业农村发展，</w:t>
      </w:r>
      <w:r>
        <w:rPr>
          <w:rFonts w:eastAsia="仿宋" w:cs="Times New Roman"/>
          <w:sz w:val="32"/>
          <w:szCs w:val="32"/>
        </w:rPr>
        <w:t>听取和审议农村集体经济发展情况，建议政府强化制度建设、加大扶持力度、壮大特色产业，促进集体经济持续增收。专题视察高标准农田建设情况，推动解决规划设计不足、投入标准偏低、建后管护不够等突出问题，确保高标准农田持久发挥效益。</w:t>
      </w:r>
      <w:r>
        <w:rPr>
          <w:rFonts w:eastAsia="仿宋" w:cs="Times New Roman"/>
          <w:bCs/>
          <w:sz w:val="32"/>
          <w:szCs w:val="32"/>
        </w:rPr>
        <w:t>聚焦生态环境治理，</w:t>
      </w:r>
      <w:r>
        <w:rPr>
          <w:rFonts w:eastAsia="仿宋" w:cs="Times New Roman"/>
          <w:sz w:val="32"/>
          <w:szCs w:val="32"/>
        </w:rPr>
        <w:t>专题视察生态环境保护情况，组织五级人大代表开展“法治护绿人大行”，全力守护绿水青山。</w:t>
      </w:r>
    </w:p>
    <w:p w14:paraId="1FB037AF">
      <w:pPr>
        <w:spacing w:line="576" w:lineRule="exact"/>
        <w:ind w:firstLine="643" w:firstLineChars="200"/>
        <w:rPr>
          <w:rFonts w:eastAsia="仿宋" w:cs="Times New Roman"/>
          <w:sz w:val="32"/>
          <w:szCs w:val="32"/>
        </w:rPr>
      </w:pPr>
      <w:r>
        <w:rPr>
          <w:rFonts w:eastAsia="仿宋" w:cs="Times New Roman"/>
          <w:b/>
          <w:sz w:val="32"/>
          <w:szCs w:val="32"/>
        </w:rPr>
        <w:t>助力法治效能提升。</w:t>
      </w:r>
      <w:r>
        <w:rPr>
          <w:rFonts w:eastAsia="仿宋" w:cs="Times New Roman"/>
          <w:sz w:val="32"/>
          <w:szCs w:val="32"/>
        </w:rPr>
        <w:t>积极参与省、市人大地方性法规建议征求工作，构建穿紫河街道“立法联系点＋代表联络站＋民意采集点”融通互促工作体系，全年为20部法规草案反馈修订建议22条。深入调研行政执法监督工作，实地抽查全区20家行政执法单位执法案卷，听取和审议专项工作报告，推动全区行政执法行为进一步规范。扎实开展“两官”履职评议工作，评议法官8名、检察官5名，评查案件130件。围绕安全生产、中小企业发展、大气污染防治、物业管理等相关法律法规贯彻实施情况，组织和配合开展执法检查，以法治力量护航武陵发展行稳致远。打造府坪街道法官代表联系点，发挥“代表＋法官”的专业优势，构建便捷多元、高效务实的司法服务新机制。依托“湖南智慧人大”平台，与澧县、汉寿人大交叉开展备案审查工作，依法备案审查规范性文件4件。扎实做好信访工作，接待群众来信来访35件56人次，推动全区发展大局安全稳定。</w:t>
      </w:r>
    </w:p>
    <w:p w14:paraId="6BE13687">
      <w:pPr>
        <w:widowControl/>
        <w:spacing w:line="576" w:lineRule="exact"/>
        <w:ind w:firstLine="640"/>
        <w:rPr>
          <w:rFonts w:eastAsia="黑体" w:cs="Times New Roman"/>
          <w:color w:val="222222"/>
          <w:kern w:val="0"/>
          <w:sz w:val="32"/>
          <w:szCs w:val="32"/>
        </w:rPr>
      </w:pPr>
      <w:r>
        <w:rPr>
          <w:rFonts w:eastAsia="黑体" w:cs="Times New Roman"/>
          <w:color w:val="222222"/>
          <w:kern w:val="0"/>
          <w:sz w:val="32"/>
          <w:szCs w:val="32"/>
        </w:rPr>
        <w:t>七、</w:t>
      </w:r>
      <w:r>
        <w:rPr>
          <w:rFonts w:hint="eastAsia" w:eastAsia="黑体" w:cs="Times New Roman"/>
          <w:color w:val="222222"/>
          <w:kern w:val="0"/>
          <w:sz w:val="32"/>
          <w:szCs w:val="32"/>
        </w:rPr>
        <w:t>存在的问题及原因分析</w:t>
      </w:r>
    </w:p>
    <w:p w14:paraId="45FC4BC2">
      <w:pPr>
        <w:widowControl/>
        <w:spacing w:line="560" w:lineRule="exact"/>
        <w:ind w:firstLine="640"/>
        <w:rPr>
          <w:rFonts w:hint="eastAsia" w:ascii="楷体_GB2312" w:hAnsi="楷体_GB2312" w:eastAsia="楷体_GB2312" w:cs="楷体_GB2312"/>
          <w:color w:val="222222"/>
          <w:kern w:val="0"/>
          <w:sz w:val="32"/>
          <w:szCs w:val="32"/>
          <w:lang w:val="en-US" w:eastAsia="zh-CN"/>
        </w:rPr>
      </w:pPr>
      <w:r>
        <w:rPr>
          <w:rFonts w:hint="eastAsia" w:ascii="楷体_GB2312" w:hAnsi="楷体_GB2312" w:eastAsia="楷体_GB2312" w:cs="楷体_GB2312"/>
          <w:color w:val="222222"/>
          <w:kern w:val="0"/>
          <w:sz w:val="32"/>
          <w:szCs w:val="32"/>
          <w:lang w:val="en-US" w:eastAsia="zh-CN"/>
        </w:rPr>
        <w:t>（一）预算编制不够精准</w:t>
      </w:r>
    </w:p>
    <w:p w14:paraId="7A8C46B4">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预算编制不够精准，执行不够严谨，2024年实际支出情况与预算存在差异。</w:t>
      </w:r>
    </w:p>
    <w:p w14:paraId="0AA7F94A">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原因分析：预算编制依据不充分。</w:t>
      </w:r>
    </w:p>
    <w:p w14:paraId="025E689B">
      <w:pPr>
        <w:widowControl/>
        <w:spacing w:line="560" w:lineRule="exact"/>
        <w:ind w:firstLine="640"/>
        <w:rPr>
          <w:rFonts w:hint="default" w:ascii="楷体_GB2312" w:hAnsi="楷体_GB2312" w:eastAsia="楷体_GB2312" w:cs="楷体_GB2312"/>
          <w:color w:val="222222"/>
          <w:kern w:val="0"/>
          <w:sz w:val="32"/>
          <w:szCs w:val="32"/>
          <w:lang w:val="en-US" w:eastAsia="zh-CN"/>
        </w:rPr>
      </w:pPr>
      <w:r>
        <w:rPr>
          <w:rFonts w:hint="eastAsia" w:ascii="楷体_GB2312" w:hAnsi="楷体_GB2312" w:eastAsia="楷体_GB2312" w:cs="楷体_GB2312"/>
          <w:color w:val="222222"/>
          <w:kern w:val="0"/>
          <w:sz w:val="32"/>
          <w:szCs w:val="32"/>
          <w:lang w:val="en-US" w:eastAsia="zh-CN"/>
        </w:rPr>
        <w:t>（二）财务人员责任和学习意识不够强</w:t>
      </w:r>
    </w:p>
    <w:p w14:paraId="5FE5BDEF">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在本单位财务工作中，部分财务人员存在责任意识与学习意识不足的问题。</w:t>
      </w:r>
    </w:p>
    <w:p w14:paraId="01A2EC0B">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原因分析：部分财务人员满足于传统工作经验，缺乏主动系统学习的动力，对新政策、新制度的理解停留在表面，导致在实务操作中出现偏差。</w:t>
      </w:r>
    </w:p>
    <w:p w14:paraId="5CEA2785">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eastAsia="黑体" w:cs="Times New Roman"/>
          <w:color w:val="222222"/>
          <w:kern w:val="0"/>
          <w:sz w:val="32"/>
          <w:szCs w:val="32"/>
        </w:rPr>
      </w:pPr>
      <w:r>
        <w:rPr>
          <w:rFonts w:eastAsia="黑体" w:cs="Times New Roman"/>
          <w:color w:val="222222"/>
          <w:kern w:val="0"/>
          <w:sz w:val="32"/>
          <w:szCs w:val="32"/>
        </w:rPr>
        <w:t>八、</w:t>
      </w:r>
      <w:r>
        <w:rPr>
          <w:rFonts w:hint="eastAsia" w:eastAsia="黑体" w:cs="Times New Roman"/>
          <w:color w:val="222222"/>
          <w:kern w:val="0"/>
          <w:sz w:val="32"/>
          <w:szCs w:val="32"/>
        </w:rPr>
        <w:t>下一步改进措施</w:t>
      </w:r>
    </w:p>
    <w:p w14:paraId="10BA59AA">
      <w:pPr>
        <w:widowControl/>
        <w:spacing w:line="560" w:lineRule="exact"/>
        <w:ind w:firstLine="640"/>
        <w:rPr>
          <w:rFonts w:hint="eastAsia" w:ascii="楷体_GB2312" w:hAnsi="楷体_GB2312" w:eastAsia="楷体_GB2312" w:cs="楷体_GB2312"/>
          <w:color w:val="222222"/>
          <w:kern w:val="0"/>
          <w:sz w:val="32"/>
          <w:szCs w:val="32"/>
          <w:lang w:val="en-US" w:eastAsia="zh-CN"/>
        </w:rPr>
      </w:pPr>
      <w:r>
        <w:rPr>
          <w:rFonts w:hint="eastAsia" w:ascii="楷体_GB2312" w:hAnsi="楷体_GB2312" w:eastAsia="楷体_GB2312" w:cs="楷体_GB2312"/>
          <w:color w:val="222222"/>
          <w:kern w:val="0"/>
          <w:sz w:val="32"/>
          <w:szCs w:val="32"/>
          <w:lang w:val="en-US" w:eastAsia="zh-CN"/>
        </w:rPr>
        <w:t>（一）精准编制年度预算</w:t>
      </w:r>
    </w:p>
    <w:p w14:paraId="7DA8402F">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细化预算编制工作，认真做好预算的编制。全面编制预算项目，优先保障保基本、保运行的费用支出项目，尽量压缩变动性的、有控制空间的费用项目，进一步根据人大事务提高预算编制的科学性、严谨性和可控性,减少预决算差异。</w:t>
      </w:r>
    </w:p>
    <w:p w14:paraId="4C97079A">
      <w:pPr>
        <w:widowControl/>
        <w:spacing w:line="560" w:lineRule="exact"/>
        <w:ind w:firstLine="640"/>
        <w:rPr>
          <w:rFonts w:hint="eastAsia" w:ascii="楷体_GB2312" w:hAnsi="楷体_GB2312" w:eastAsia="楷体_GB2312" w:cs="楷体_GB2312"/>
          <w:color w:val="222222"/>
          <w:kern w:val="0"/>
          <w:sz w:val="32"/>
          <w:szCs w:val="32"/>
          <w:lang w:val="en-US" w:eastAsia="zh-CN"/>
        </w:rPr>
      </w:pPr>
      <w:r>
        <w:rPr>
          <w:rFonts w:hint="eastAsia" w:ascii="楷体_GB2312" w:hAnsi="楷体_GB2312" w:eastAsia="楷体_GB2312" w:cs="楷体_GB2312"/>
          <w:color w:val="222222"/>
          <w:kern w:val="0"/>
          <w:sz w:val="32"/>
          <w:szCs w:val="32"/>
          <w:lang w:val="en-US" w:eastAsia="zh-CN"/>
        </w:rPr>
        <w:t>（二）增强财务人员责任和学习意识</w:t>
      </w:r>
    </w:p>
    <w:p w14:paraId="59399B7E">
      <w:pPr>
        <w:spacing w:line="576" w:lineRule="exact"/>
        <w:ind w:firstLine="640" w:firstLineChars="200"/>
        <w:rPr>
          <w:rFonts w:eastAsia="仿宋" w:cs="Times New Roman"/>
          <w:color w:val="000000"/>
          <w:sz w:val="32"/>
          <w:szCs w:val="32"/>
        </w:rPr>
      </w:pPr>
      <w:r>
        <w:rPr>
          <w:rFonts w:eastAsia="仿宋" w:cs="Times New Roman"/>
          <w:color w:val="000000"/>
          <w:sz w:val="32"/>
          <w:szCs w:val="32"/>
        </w:rPr>
        <w:t>要认真履行会计的基本职能以及作为会计所应承担的责任和职责，提高自身素质，树立终生学习的理念，自觉充电，积极参加业务培训思想教育，增强业务素质，提高政治素质；加大对领导干部的培训力度。有关部门应把财务管理知识、财经法律法规知识纳入各单位党委（党组）中心组理论学习、培训的重要内容，推进依法用权、规范用权、审慎用权、秉公用权。</w:t>
      </w:r>
    </w:p>
    <w:p w14:paraId="5B836D06">
      <w:pPr>
        <w:widowControl/>
        <w:spacing w:line="560" w:lineRule="exact"/>
        <w:ind w:firstLine="64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九</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绩效自评结果拟应用和公开情况</w:t>
      </w:r>
    </w:p>
    <w:p w14:paraId="0F093E27">
      <w:pPr>
        <w:widowControl/>
        <w:spacing w:line="560" w:lineRule="exact"/>
        <w:ind w:firstLine="640"/>
        <w:rPr>
          <w:rFonts w:hint="eastAsia" w:ascii="Times New Roman" w:hAnsi="Times New Roman" w:eastAsia="仿宋" w:cs="Times New Roman"/>
          <w:color w:val="222222"/>
          <w:kern w:val="0"/>
          <w:sz w:val="32"/>
          <w:szCs w:val="32"/>
          <w:lang w:val="en-US" w:eastAsia="zh-CN"/>
        </w:rPr>
      </w:pPr>
      <w:r>
        <w:rPr>
          <w:rFonts w:hint="eastAsia" w:ascii="Times New Roman" w:hAnsi="Times New Roman" w:eastAsia="仿宋" w:cs="Times New Roman"/>
          <w:color w:val="222222"/>
          <w:kern w:val="0"/>
          <w:sz w:val="32"/>
          <w:szCs w:val="32"/>
          <w:lang w:val="en-US" w:eastAsia="zh-CN"/>
        </w:rPr>
        <w:t>已在政府门户网站上同2024年度部门决算同步公开，截至部门决算公开时，绩效自评结果还未应用但拟应用。</w:t>
      </w:r>
    </w:p>
    <w:p w14:paraId="0B2E337A">
      <w:pPr>
        <w:spacing w:line="576" w:lineRule="exact"/>
        <w:ind w:firstLine="640" w:firstLineChars="200"/>
        <w:rPr>
          <w:rFonts w:eastAsia="仿宋" w:cs="Times New Roman"/>
          <w:color w:val="000000"/>
          <w:sz w:val="32"/>
          <w:szCs w:val="32"/>
        </w:rPr>
      </w:pPr>
    </w:p>
    <w:p w14:paraId="016B28C6">
      <w:pPr>
        <w:spacing w:line="576" w:lineRule="exact"/>
        <w:rPr>
          <w:rFonts w:eastAsia="仿宋" w:cs="Times New Roman"/>
          <w:color w:val="000000"/>
          <w:sz w:val="32"/>
          <w:szCs w:val="32"/>
        </w:rPr>
      </w:pPr>
    </w:p>
    <w:p w14:paraId="637A8441">
      <w:pPr>
        <w:pStyle w:val="2"/>
      </w:pPr>
    </w:p>
    <w:p w14:paraId="1B6EAD71">
      <w:pPr>
        <w:spacing w:line="576" w:lineRule="exact"/>
        <w:ind w:firstLine="640" w:firstLineChars="200"/>
        <w:rPr>
          <w:rFonts w:eastAsia="仿宋" w:cs="Times New Roman"/>
          <w:sz w:val="32"/>
          <w:szCs w:val="32"/>
        </w:rPr>
      </w:pPr>
      <w:r>
        <w:rPr>
          <w:rFonts w:eastAsia="仿宋" w:cs="Times New Roman"/>
          <w:sz w:val="32"/>
          <w:szCs w:val="32"/>
        </w:rPr>
        <w:t>附件：1.部门整体支出绩效评价指标表</w:t>
      </w:r>
    </w:p>
    <w:p w14:paraId="5E88C2C6">
      <w:pPr>
        <w:spacing w:line="576" w:lineRule="exact"/>
        <w:ind w:firstLine="1600" w:firstLineChars="500"/>
        <w:rPr>
          <w:rFonts w:eastAsia="仿宋" w:cs="Times New Roman"/>
          <w:sz w:val="32"/>
          <w:szCs w:val="32"/>
        </w:rPr>
      </w:pPr>
      <w:r>
        <w:rPr>
          <w:rFonts w:eastAsia="仿宋" w:cs="Times New Roman"/>
          <w:sz w:val="32"/>
          <w:szCs w:val="32"/>
        </w:rPr>
        <w:t>2.部门整体支出绩效评价基础数据表</w:t>
      </w:r>
    </w:p>
    <w:p w14:paraId="0D1ADFED">
      <w:pPr>
        <w:spacing w:line="576" w:lineRule="exact"/>
        <w:ind w:firstLine="640" w:firstLineChars="200"/>
        <w:rPr>
          <w:rFonts w:eastAsia="仿宋" w:cs="Times New Roman"/>
          <w:sz w:val="32"/>
          <w:szCs w:val="32"/>
        </w:rPr>
      </w:pPr>
    </w:p>
    <w:p w14:paraId="082840BB">
      <w:pPr>
        <w:widowControl/>
        <w:spacing w:line="576" w:lineRule="exact"/>
        <w:ind w:firstLine="640"/>
        <w:rPr>
          <w:rFonts w:eastAsia="仿宋" w:cs="Times New Roman"/>
          <w:color w:val="000000"/>
          <w:sz w:val="32"/>
          <w:szCs w:val="32"/>
        </w:rPr>
      </w:pPr>
    </w:p>
    <w:p w14:paraId="6612E167">
      <w:pPr>
        <w:spacing w:line="576" w:lineRule="exact"/>
        <w:ind w:firstLine="640" w:firstLineChars="200"/>
        <w:rPr>
          <w:rFonts w:eastAsia="仿宋" w:cs="Times New Roman"/>
          <w:sz w:val="32"/>
          <w:szCs w:val="32"/>
        </w:rPr>
      </w:pPr>
      <w:r>
        <w:rPr>
          <w:rFonts w:eastAsia="仿宋" w:cs="Times New Roman"/>
          <w:sz w:val="32"/>
          <w:szCs w:val="32"/>
        </w:rPr>
        <w:t xml:space="preserve">                         武陵区人大常委会办公室</w:t>
      </w:r>
    </w:p>
    <w:p w14:paraId="3D5C1401">
      <w:pPr>
        <w:spacing w:line="576" w:lineRule="exact"/>
        <w:ind w:firstLine="640" w:firstLineChars="200"/>
        <w:jc w:val="center"/>
        <w:rPr>
          <w:rFonts w:eastAsia="仿宋" w:cs="Times New Roman"/>
          <w:sz w:val="32"/>
          <w:szCs w:val="32"/>
        </w:rPr>
      </w:pPr>
      <w:r>
        <w:rPr>
          <w:rFonts w:eastAsia="仿宋" w:cs="Times New Roman"/>
          <w:sz w:val="32"/>
          <w:szCs w:val="32"/>
        </w:rPr>
        <w:t xml:space="preserve">                    2025年</w:t>
      </w:r>
      <w:r>
        <w:rPr>
          <w:rFonts w:hint="eastAsia" w:eastAsia="仿宋" w:cs="Times New Roman"/>
          <w:sz w:val="32"/>
          <w:szCs w:val="32"/>
          <w:lang w:val="en-US" w:eastAsia="zh-CN"/>
        </w:rPr>
        <w:t>8</w:t>
      </w:r>
      <w:r>
        <w:rPr>
          <w:rFonts w:eastAsia="仿宋" w:cs="Times New Roman"/>
          <w:sz w:val="32"/>
          <w:szCs w:val="32"/>
        </w:rPr>
        <w:t>月27日</w:t>
      </w:r>
    </w:p>
    <w:p w14:paraId="78439BCD">
      <w:pPr>
        <w:spacing w:line="576" w:lineRule="exact"/>
        <w:jc w:val="center"/>
        <w:rPr>
          <w:rFonts w:eastAsia="方正小标宋简体" w:cs="Times New Roman"/>
          <w:kern w:val="0"/>
          <w:sz w:val="44"/>
          <w:szCs w:val="44"/>
        </w:rPr>
      </w:pPr>
    </w:p>
    <w:p w14:paraId="4A6B5217">
      <w:pPr>
        <w:spacing w:line="576" w:lineRule="exact"/>
        <w:jc w:val="center"/>
        <w:rPr>
          <w:rFonts w:eastAsia="方正小标宋简体" w:cs="Times New Roman"/>
          <w:kern w:val="0"/>
          <w:sz w:val="44"/>
          <w:szCs w:val="44"/>
        </w:rPr>
      </w:pPr>
    </w:p>
    <w:p w14:paraId="6BA2C5A7">
      <w:pPr>
        <w:spacing w:line="576" w:lineRule="exact"/>
        <w:jc w:val="center"/>
        <w:rPr>
          <w:rFonts w:eastAsia="方正小标宋简体" w:cs="Times New Roman"/>
          <w:kern w:val="0"/>
          <w:sz w:val="44"/>
          <w:szCs w:val="44"/>
        </w:rPr>
      </w:pPr>
    </w:p>
    <w:p w14:paraId="52D8FA6B">
      <w:pPr>
        <w:spacing w:line="576" w:lineRule="exact"/>
        <w:jc w:val="center"/>
        <w:rPr>
          <w:rFonts w:eastAsia="方正小标宋简体" w:cs="Times New Roman"/>
          <w:kern w:val="0"/>
          <w:sz w:val="44"/>
          <w:szCs w:val="44"/>
        </w:rPr>
      </w:pPr>
    </w:p>
    <w:p w14:paraId="0DE752F8">
      <w:pPr>
        <w:spacing w:line="576" w:lineRule="exact"/>
        <w:jc w:val="center"/>
        <w:rPr>
          <w:rFonts w:eastAsia="方正小标宋简体" w:cs="Times New Roman"/>
          <w:kern w:val="0"/>
          <w:sz w:val="44"/>
          <w:szCs w:val="44"/>
        </w:rPr>
      </w:pPr>
    </w:p>
    <w:p w14:paraId="11987AC2">
      <w:pPr>
        <w:spacing w:line="576" w:lineRule="exact"/>
        <w:jc w:val="center"/>
        <w:rPr>
          <w:rFonts w:eastAsia="方正小标宋简体" w:cs="Times New Roman"/>
          <w:kern w:val="0"/>
          <w:sz w:val="44"/>
          <w:szCs w:val="44"/>
        </w:rPr>
      </w:pPr>
    </w:p>
    <w:p w14:paraId="58E8C3C5">
      <w:pPr>
        <w:spacing w:line="576" w:lineRule="exact"/>
        <w:jc w:val="center"/>
        <w:rPr>
          <w:rFonts w:eastAsia="方正小标宋简体" w:cs="Times New Roman"/>
          <w:kern w:val="0"/>
          <w:sz w:val="44"/>
          <w:szCs w:val="44"/>
        </w:rPr>
      </w:pPr>
    </w:p>
    <w:p w14:paraId="137F2334">
      <w:pPr>
        <w:spacing w:line="576" w:lineRule="exact"/>
        <w:jc w:val="center"/>
        <w:rPr>
          <w:rFonts w:eastAsia="方正小标宋简体" w:cs="Times New Roman"/>
          <w:kern w:val="0"/>
          <w:sz w:val="44"/>
          <w:szCs w:val="44"/>
        </w:rPr>
      </w:pPr>
    </w:p>
    <w:p w14:paraId="347581D1">
      <w:pPr>
        <w:rPr>
          <w:rFonts w:eastAsia="方正小标宋简体" w:cs="Times New Roman"/>
          <w:kern w:val="0"/>
          <w:sz w:val="44"/>
          <w:szCs w:val="44"/>
        </w:rPr>
      </w:pPr>
      <w:r>
        <w:rPr>
          <w:rFonts w:eastAsia="方正小标宋简体" w:cs="Times New Roman"/>
          <w:kern w:val="0"/>
          <w:sz w:val="44"/>
          <w:szCs w:val="44"/>
        </w:rPr>
        <w:br w:type="page"/>
      </w:r>
    </w:p>
    <w:p w14:paraId="2465FD97">
      <w:pPr>
        <w:spacing w:line="576" w:lineRule="exact"/>
        <w:ind w:left="-1" w:leftChars="-270" w:hanging="566" w:hangingChars="177"/>
        <w:rPr>
          <w:rFonts w:eastAsia="黑体" w:cs="Times New Roman"/>
          <w:kern w:val="0"/>
          <w:sz w:val="32"/>
          <w:szCs w:val="32"/>
        </w:rPr>
      </w:pPr>
      <w:bookmarkStart w:id="0" w:name="_GoBack"/>
      <w:bookmarkEnd w:id="0"/>
      <w:r>
        <w:rPr>
          <w:rFonts w:eastAsia="黑体" w:cs="Times New Roman"/>
          <w:kern w:val="0"/>
          <w:sz w:val="32"/>
          <w:szCs w:val="32"/>
        </w:rPr>
        <w:t>附件1</w:t>
      </w:r>
    </w:p>
    <w:p w14:paraId="2A3D4EC3">
      <w:pPr>
        <w:spacing w:line="576" w:lineRule="exact"/>
        <w:jc w:val="center"/>
        <w:rPr>
          <w:rFonts w:eastAsia="方正小标宋简体" w:cs="Times New Roman"/>
          <w:kern w:val="0"/>
          <w:sz w:val="44"/>
          <w:szCs w:val="44"/>
        </w:rPr>
      </w:pPr>
    </w:p>
    <w:p w14:paraId="0E2FA4F0">
      <w:pPr>
        <w:spacing w:line="576" w:lineRule="exact"/>
        <w:jc w:val="center"/>
        <w:rPr>
          <w:rFonts w:eastAsia="仿宋" w:cs="Times New Roman"/>
          <w:sz w:val="32"/>
          <w:szCs w:val="32"/>
        </w:rPr>
      </w:pPr>
      <w:r>
        <w:rPr>
          <w:rFonts w:eastAsia="方正小标宋简体" w:cs="Times New Roman"/>
          <w:kern w:val="0"/>
          <w:sz w:val="44"/>
          <w:szCs w:val="44"/>
        </w:rPr>
        <w:t>部门整体支出绩效评价指标体系（参考）</w:t>
      </w:r>
    </w:p>
    <w:p w14:paraId="04D59E6F">
      <w:pPr>
        <w:spacing w:line="520" w:lineRule="exact"/>
        <w:rPr>
          <w:rFonts w:eastAsia="仿宋" w:cs="Times New Roman"/>
          <w:sz w:val="32"/>
          <w:szCs w:val="32"/>
        </w:rPr>
      </w:pPr>
    </w:p>
    <w:tbl>
      <w:tblPr>
        <w:tblStyle w:val="17"/>
        <w:tblW w:w="10623" w:type="dxa"/>
        <w:jc w:val="center"/>
        <w:tblLayout w:type="autofit"/>
        <w:tblCellMar>
          <w:top w:w="0" w:type="dxa"/>
          <w:left w:w="108" w:type="dxa"/>
          <w:bottom w:w="0" w:type="dxa"/>
          <w:right w:w="108" w:type="dxa"/>
        </w:tblCellMar>
      </w:tblPr>
      <w:tblGrid>
        <w:gridCol w:w="731"/>
        <w:gridCol w:w="550"/>
        <w:gridCol w:w="576"/>
        <w:gridCol w:w="676"/>
        <w:gridCol w:w="576"/>
        <w:gridCol w:w="3752"/>
        <w:gridCol w:w="3036"/>
        <w:gridCol w:w="726"/>
      </w:tblGrid>
      <w:tr w14:paraId="45CB90EC">
        <w:tblPrEx>
          <w:tblCellMar>
            <w:top w:w="0" w:type="dxa"/>
            <w:left w:w="108" w:type="dxa"/>
            <w:bottom w:w="0" w:type="dxa"/>
            <w:right w:w="108" w:type="dxa"/>
          </w:tblCellMar>
        </w:tblPrEx>
        <w:trPr>
          <w:wBefore w:w="0" w:type="auto"/>
          <w:wAfter w:w="0" w:type="auto"/>
          <w:trHeight w:val="66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18EA452">
            <w:pPr>
              <w:widowControl/>
              <w:spacing w:line="280" w:lineRule="exact"/>
              <w:jc w:val="center"/>
              <w:rPr>
                <w:rFonts w:eastAsia="黑体" w:cs="Times New Roman"/>
                <w:kern w:val="0"/>
                <w:sz w:val="20"/>
                <w:szCs w:val="20"/>
              </w:rPr>
            </w:pPr>
            <w:r>
              <w:rPr>
                <w:rFonts w:eastAsia="黑体" w:cs="Times New Roman"/>
                <w:kern w:val="0"/>
                <w:sz w:val="20"/>
                <w:szCs w:val="20"/>
              </w:rPr>
              <w:t>一级</w:t>
            </w:r>
            <w:r>
              <w:rPr>
                <w:rFonts w:eastAsia="黑体" w:cs="Times New Roman"/>
                <w:kern w:val="0"/>
                <w:sz w:val="20"/>
                <w:szCs w:val="20"/>
              </w:rPr>
              <w:br w:type="textWrapping"/>
            </w:r>
            <w:r>
              <w:rPr>
                <w:rFonts w:eastAsia="黑体" w:cs="Times New Roman"/>
                <w:kern w:val="0"/>
                <w:sz w:val="20"/>
                <w:szCs w:val="20"/>
              </w:rPr>
              <w:t>指标</w:t>
            </w:r>
          </w:p>
        </w:tc>
        <w:tc>
          <w:tcPr>
            <w:tcW w:w="638" w:type="dxa"/>
            <w:tcBorders>
              <w:top w:val="single" w:color="auto" w:sz="4" w:space="0"/>
              <w:left w:val="nil"/>
              <w:bottom w:val="single" w:color="auto" w:sz="4" w:space="0"/>
              <w:right w:val="single" w:color="auto" w:sz="4" w:space="0"/>
            </w:tcBorders>
            <w:noWrap w:val="0"/>
            <w:vAlign w:val="center"/>
          </w:tcPr>
          <w:p w14:paraId="7674DFA3">
            <w:pPr>
              <w:widowControl/>
              <w:spacing w:line="280" w:lineRule="exact"/>
              <w:jc w:val="center"/>
              <w:rPr>
                <w:rFonts w:eastAsia="黑体" w:cs="Times New Roman"/>
                <w:kern w:val="0"/>
                <w:sz w:val="20"/>
                <w:szCs w:val="20"/>
              </w:rPr>
            </w:pPr>
            <w:r>
              <w:rPr>
                <w:rFonts w:eastAsia="黑体" w:cs="Times New Roman"/>
                <w:kern w:val="0"/>
                <w:sz w:val="20"/>
                <w:szCs w:val="20"/>
              </w:rPr>
              <w:t>二级</w:t>
            </w:r>
            <w:r>
              <w:rPr>
                <w:rFonts w:eastAsia="黑体" w:cs="Times New Roman"/>
                <w:kern w:val="0"/>
                <w:sz w:val="20"/>
                <w:szCs w:val="20"/>
              </w:rPr>
              <w:br w:type="textWrapping"/>
            </w:r>
            <w:r>
              <w:rPr>
                <w:rFonts w:eastAsia="黑体" w:cs="Times New Roman"/>
                <w:kern w:val="0"/>
                <w:sz w:val="20"/>
                <w:szCs w:val="20"/>
              </w:rPr>
              <w:t>指标</w:t>
            </w:r>
          </w:p>
        </w:tc>
        <w:tc>
          <w:tcPr>
            <w:tcW w:w="548" w:type="dxa"/>
            <w:tcBorders>
              <w:top w:val="single" w:color="auto" w:sz="4" w:space="0"/>
              <w:left w:val="nil"/>
              <w:bottom w:val="single" w:color="auto" w:sz="4" w:space="0"/>
              <w:right w:val="single" w:color="auto" w:sz="4" w:space="0"/>
            </w:tcBorders>
            <w:noWrap w:val="0"/>
            <w:vAlign w:val="center"/>
          </w:tcPr>
          <w:p w14:paraId="3F473BEA">
            <w:pPr>
              <w:widowControl/>
              <w:spacing w:line="280" w:lineRule="exact"/>
              <w:jc w:val="center"/>
              <w:rPr>
                <w:rFonts w:eastAsia="黑体" w:cs="Times New Roman"/>
                <w:kern w:val="0"/>
                <w:sz w:val="20"/>
                <w:szCs w:val="20"/>
              </w:rPr>
            </w:pPr>
            <w:r>
              <w:rPr>
                <w:rFonts w:eastAsia="黑体" w:cs="Times New Roman"/>
                <w:kern w:val="0"/>
                <w:sz w:val="20"/>
                <w:szCs w:val="20"/>
              </w:rPr>
              <w:t>分值</w:t>
            </w:r>
          </w:p>
        </w:tc>
        <w:tc>
          <w:tcPr>
            <w:tcW w:w="676" w:type="dxa"/>
            <w:tcBorders>
              <w:top w:val="single" w:color="auto" w:sz="4" w:space="0"/>
              <w:left w:val="nil"/>
              <w:bottom w:val="single" w:color="auto" w:sz="4" w:space="0"/>
              <w:right w:val="single" w:color="auto" w:sz="4" w:space="0"/>
            </w:tcBorders>
            <w:noWrap w:val="0"/>
            <w:vAlign w:val="center"/>
          </w:tcPr>
          <w:p w14:paraId="47DDB221">
            <w:pPr>
              <w:widowControl/>
              <w:spacing w:line="280" w:lineRule="exact"/>
              <w:jc w:val="center"/>
              <w:rPr>
                <w:rFonts w:eastAsia="黑体" w:cs="Times New Roman"/>
                <w:kern w:val="0"/>
                <w:sz w:val="20"/>
                <w:szCs w:val="20"/>
              </w:rPr>
            </w:pPr>
            <w:r>
              <w:rPr>
                <w:rFonts w:eastAsia="黑体" w:cs="Times New Roman"/>
                <w:kern w:val="0"/>
                <w:sz w:val="20"/>
                <w:szCs w:val="20"/>
              </w:rPr>
              <w:t>三级指标</w:t>
            </w:r>
          </w:p>
        </w:tc>
        <w:tc>
          <w:tcPr>
            <w:tcW w:w="516" w:type="dxa"/>
            <w:tcBorders>
              <w:top w:val="single" w:color="auto" w:sz="4" w:space="0"/>
              <w:left w:val="nil"/>
              <w:bottom w:val="single" w:color="auto" w:sz="4" w:space="0"/>
              <w:right w:val="single" w:color="auto" w:sz="4" w:space="0"/>
            </w:tcBorders>
            <w:noWrap w:val="0"/>
            <w:vAlign w:val="center"/>
          </w:tcPr>
          <w:p w14:paraId="05DD9D51">
            <w:pPr>
              <w:widowControl/>
              <w:spacing w:line="280" w:lineRule="exact"/>
              <w:jc w:val="center"/>
              <w:rPr>
                <w:rFonts w:eastAsia="黑体" w:cs="Times New Roman"/>
                <w:kern w:val="0"/>
                <w:sz w:val="20"/>
                <w:szCs w:val="20"/>
              </w:rPr>
            </w:pPr>
            <w:r>
              <w:rPr>
                <w:rFonts w:eastAsia="黑体" w:cs="Times New Roman"/>
                <w:kern w:val="0"/>
                <w:sz w:val="20"/>
                <w:szCs w:val="20"/>
              </w:rPr>
              <w:t>分值</w:t>
            </w:r>
          </w:p>
        </w:tc>
        <w:tc>
          <w:tcPr>
            <w:tcW w:w="3752" w:type="dxa"/>
            <w:tcBorders>
              <w:top w:val="single" w:color="auto" w:sz="4" w:space="0"/>
              <w:left w:val="nil"/>
              <w:bottom w:val="single" w:color="auto" w:sz="4" w:space="0"/>
              <w:right w:val="single" w:color="auto" w:sz="4" w:space="0"/>
            </w:tcBorders>
            <w:noWrap w:val="0"/>
            <w:vAlign w:val="center"/>
          </w:tcPr>
          <w:p w14:paraId="3D574CCC">
            <w:pPr>
              <w:widowControl/>
              <w:spacing w:line="280" w:lineRule="exact"/>
              <w:jc w:val="center"/>
              <w:rPr>
                <w:rFonts w:eastAsia="黑体" w:cs="Times New Roman"/>
                <w:kern w:val="0"/>
                <w:sz w:val="20"/>
                <w:szCs w:val="20"/>
              </w:rPr>
            </w:pPr>
            <w:r>
              <w:rPr>
                <w:rFonts w:eastAsia="黑体" w:cs="Times New Roman"/>
                <w:kern w:val="0"/>
                <w:sz w:val="20"/>
                <w:szCs w:val="20"/>
              </w:rPr>
              <w:t>指标解释</w:t>
            </w:r>
          </w:p>
        </w:tc>
        <w:tc>
          <w:tcPr>
            <w:tcW w:w="3036" w:type="dxa"/>
            <w:tcBorders>
              <w:top w:val="single" w:color="auto" w:sz="4" w:space="0"/>
              <w:left w:val="nil"/>
              <w:bottom w:val="single" w:color="auto" w:sz="4" w:space="0"/>
              <w:right w:val="single" w:color="auto" w:sz="4" w:space="0"/>
            </w:tcBorders>
            <w:noWrap w:val="0"/>
            <w:vAlign w:val="center"/>
          </w:tcPr>
          <w:p w14:paraId="6C0C0D45">
            <w:pPr>
              <w:widowControl/>
              <w:spacing w:line="280" w:lineRule="exact"/>
              <w:jc w:val="center"/>
              <w:rPr>
                <w:rFonts w:eastAsia="黑体" w:cs="Times New Roman"/>
                <w:kern w:val="0"/>
                <w:sz w:val="20"/>
                <w:szCs w:val="20"/>
              </w:rPr>
            </w:pPr>
            <w:r>
              <w:rPr>
                <w:rFonts w:eastAsia="黑体" w:cs="Times New Roman"/>
                <w:kern w:val="0"/>
                <w:sz w:val="20"/>
                <w:szCs w:val="20"/>
              </w:rPr>
              <w:t>评分标准</w:t>
            </w:r>
          </w:p>
        </w:tc>
        <w:tc>
          <w:tcPr>
            <w:tcW w:w="726" w:type="dxa"/>
            <w:tcBorders>
              <w:top w:val="single" w:color="auto" w:sz="4" w:space="0"/>
              <w:left w:val="nil"/>
              <w:bottom w:val="single" w:color="auto" w:sz="4" w:space="0"/>
              <w:right w:val="single" w:color="auto" w:sz="4" w:space="0"/>
            </w:tcBorders>
            <w:noWrap w:val="0"/>
            <w:vAlign w:val="center"/>
          </w:tcPr>
          <w:p w14:paraId="62FB4A32">
            <w:pPr>
              <w:widowControl/>
              <w:jc w:val="left"/>
              <w:rPr>
                <w:rFonts w:eastAsia="黑体" w:cs="Times New Roman"/>
                <w:kern w:val="0"/>
                <w:sz w:val="20"/>
                <w:szCs w:val="20"/>
              </w:rPr>
            </w:pPr>
            <w:r>
              <w:rPr>
                <w:rFonts w:eastAsia="黑体" w:cs="Times New Roman"/>
                <w:kern w:val="0"/>
                <w:sz w:val="20"/>
                <w:szCs w:val="20"/>
              </w:rPr>
              <w:t>自评</w:t>
            </w:r>
            <w:r>
              <w:rPr>
                <w:rFonts w:eastAsia="黑体" w:cs="Times New Roman"/>
                <w:kern w:val="0"/>
                <w:sz w:val="20"/>
                <w:szCs w:val="20"/>
              </w:rPr>
              <w:br w:type="textWrapping"/>
            </w:r>
            <w:r>
              <w:rPr>
                <w:rFonts w:eastAsia="黑体" w:cs="Times New Roman"/>
                <w:kern w:val="0"/>
                <w:sz w:val="20"/>
                <w:szCs w:val="20"/>
              </w:rPr>
              <w:t>得分</w:t>
            </w:r>
          </w:p>
        </w:tc>
      </w:tr>
      <w:tr w14:paraId="04461E4F">
        <w:tblPrEx>
          <w:tblCellMar>
            <w:top w:w="0" w:type="dxa"/>
            <w:left w:w="108" w:type="dxa"/>
            <w:bottom w:w="0" w:type="dxa"/>
            <w:right w:w="108" w:type="dxa"/>
          </w:tblCellMar>
        </w:tblPrEx>
        <w:trPr>
          <w:wBefore w:w="0" w:type="auto"/>
          <w:wAfter w:w="0" w:type="auto"/>
          <w:trHeight w:val="2702"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312B2A78">
            <w:pPr>
              <w:widowControl/>
              <w:spacing w:line="280" w:lineRule="exact"/>
              <w:jc w:val="center"/>
              <w:rPr>
                <w:rFonts w:eastAsia="仿宋" w:cs="Times New Roman"/>
                <w:kern w:val="0"/>
                <w:sz w:val="24"/>
                <w:szCs w:val="24"/>
              </w:rPr>
            </w:pPr>
            <w:r>
              <w:rPr>
                <w:rFonts w:eastAsia="仿宋" w:cs="Times New Roman"/>
                <w:kern w:val="0"/>
                <w:sz w:val="24"/>
                <w:szCs w:val="24"/>
              </w:rPr>
              <w:t>投入</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3C3F2D5D">
            <w:pPr>
              <w:widowControl/>
              <w:spacing w:line="280" w:lineRule="exact"/>
              <w:jc w:val="center"/>
              <w:rPr>
                <w:rFonts w:eastAsia="仿宋" w:cs="Times New Roman"/>
                <w:kern w:val="0"/>
                <w:sz w:val="24"/>
                <w:szCs w:val="24"/>
              </w:rPr>
            </w:pPr>
            <w:r>
              <w:rPr>
                <w:rFonts w:eastAsia="仿宋" w:cs="Times New Roman"/>
                <w:kern w:val="0"/>
                <w:sz w:val="24"/>
                <w:szCs w:val="24"/>
              </w:rPr>
              <w:t>目标</w:t>
            </w:r>
            <w:r>
              <w:rPr>
                <w:rFonts w:eastAsia="仿宋" w:cs="Times New Roman"/>
                <w:kern w:val="0"/>
                <w:sz w:val="24"/>
                <w:szCs w:val="24"/>
              </w:rPr>
              <w:br w:type="textWrapping"/>
            </w:r>
            <w:r>
              <w:rPr>
                <w:rFonts w:eastAsia="仿宋" w:cs="Times New Roman"/>
                <w:kern w:val="0"/>
                <w:sz w:val="24"/>
                <w:szCs w:val="24"/>
              </w:rPr>
              <w:t>设定</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29FB7CA8">
            <w:pPr>
              <w:widowControl/>
              <w:spacing w:line="280" w:lineRule="exact"/>
              <w:jc w:val="center"/>
              <w:rPr>
                <w:rFonts w:eastAsia="仿宋" w:cs="Times New Roman"/>
                <w:kern w:val="0"/>
                <w:sz w:val="24"/>
                <w:szCs w:val="24"/>
              </w:rPr>
            </w:pPr>
            <w:r>
              <w:rPr>
                <w:rFonts w:eastAsia="仿宋" w:cs="Times New Roman"/>
                <w:kern w:val="0"/>
                <w:sz w:val="24"/>
                <w:szCs w:val="24"/>
              </w:rPr>
              <w:t>10</w:t>
            </w:r>
          </w:p>
        </w:tc>
        <w:tc>
          <w:tcPr>
            <w:tcW w:w="676" w:type="dxa"/>
            <w:tcBorders>
              <w:top w:val="single" w:color="auto" w:sz="4" w:space="0"/>
              <w:left w:val="nil"/>
              <w:bottom w:val="single" w:color="auto" w:sz="4" w:space="0"/>
              <w:right w:val="single" w:color="auto" w:sz="4" w:space="0"/>
            </w:tcBorders>
            <w:noWrap w:val="0"/>
            <w:vAlign w:val="center"/>
          </w:tcPr>
          <w:p w14:paraId="0D883893">
            <w:pPr>
              <w:widowControl/>
              <w:spacing w:line="280" w:lineRule="exact"/>
              <w:jc w:val="left"/>
              <w:rPr>
                <w:rFonts w:eastAsia="仿宋" w:cs="Times New Roman"/>
                <w:kern w:val="0"/>
                <w:sz w:val="24"/>
                <w:szCs w:val="24"/>
              </w:rPr>
            </w:pPr>
            <w:r>
              <w:rPr>
                <w:rFonts w:eastAsia="仿宋" w:cs="Times New Roman"/>
                <w:kern w:val="0"/>
                <w:sz w:val="24"/>
                <w:szCs w:val="24"/>
              </w:rPr>
              <w:t>绩效目标合理性</w:t>
            </w:r>
          </w:p>
        </w:tc>
        <w:tc>
          <w:tcPr>
            <w:tcW w:w="516" w:type="dxa"/>
            <w:tcBorders>
              <w:top w:val="single" w:color="auto" w:sz="4" w:space="0"/>
              <w:left w:val="nil"/>
              <w:bottom w:val="single" w:color="auto" w:sz="4" w:space="0"/>
              <w:right w:val="single" w:color="auto" w:sz="4" w:space="0"/>
            </w:tcBorders>
            <w:noWrap w:val="0"/>
            <w:vAlign w:val="center"/>
          </w:tcPr>
          <w:p w14:paraId="389C29B2">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3752" w:type="dxa"/>
            <w:tcBorders>
              <w:top w:val="single" w:color="auto" w:sz="4" w:space="0"/>
              <w:left w:val="nil"/>
              <w:bottom w:val="single" w:color="auto" w:sz="4" w:space="0"/>
              <w:right w:val="single" w:color="auto" w:sz="4" w:space="0"/>
            </w:tcBorders>
            <w:noWrap w:val="0"/>
            <w:vAlign w:val="center"/>
          </w:tcPr>
          <w:p w14:paraId="49A4E810">
            <w:pPr>
              <w:widowControl/>
              <w:spacing w:line="280" w:lineRule="exact"/>
              <w:jc w:val="left"/>
              <w:rPr>
                <w:rFonts w:eastAsia="仿宋" w:cs="Times New Roman"/>
                <w:kern w:val="0"/>
                <w:sz w:val="24"/>
                <w:szCs w:val="24"/>
              </w:rPr>
            </w:pPr>
            <w:r>
              <w:rPr>
                <w:rFonts w:eastAsia="仿宋" w:cs="Times New Roman"/>
                <w:kern w:val="0"/>
                <w:sz w:val="24"/>
                <w:szCs w:val="24"/>
              </w:rPr>
              <w:t xml:space="preserve">  部门所设立的整体绩效目标依据是否充分，是否符合客观实际，用以反映和考核部门整体绩效目标与部门履职、年度工作任务的相符性情况。</w:t>
            </w:r>
          </w:p>
        </w:tc>
        <w:tc>
          <w:tcPr>
            <w:tcW w:w="3036" w:type="dxa"/>
            <w:tcBorders>
              <w:top w:val="single" w:color="auto" w:sz="4" w:space="0"/>
              <w:left w:val="nil"/>
              <w:bottom w:val="single" w:color="auto" w:sz="4" w:space="0"/>
              <w:right w:val="single" w:color="auto" w:sz="4" w:space="0"/>
            </w:tcBorders>
            <w:noWrap w:val="0"/>
            <w:vAlign w:val="center"/>
          </w:tcPr>
          <w:p w14:paraId="64B3C1D9">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符合国家法律法规、国民经济和社会发展总体规划，得1分；</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符合部门“三定”方案确定的职责，得1分；</w:t>
            </w:r>
            <w:r>
              <w:rPr>
                <w:rFonts w:eastAsia="仿宋" w:cs="Times New Roman"/>
                <w:kern w:val="0"/>
                <w:sz w:val="24"/>
                <w:szCs w:val="24"/>
              </w:rPr>
              <w:br w:type="textWrapping"/>
            </w:r>
            <w:r>
              <w:rPr>
                <w:rFonts w:hint="eastAsia" w:ascii="宋体" w:hAnsi="宋体" w:cs="宋体"/>
                <w:kern w:val="0"/>
                <w:sz w:val="24"/>
                <w:szCs w:val="24"/>
              </w:rPr>
              <w:t>③</w:t>
            </w:r>
            <w:r>
              <w:rPr>
                <w:rFonts w:eastAsia="仿宋" w:cs="Times New Roman"/>
                <w:kern w:val="0"/>
                <w:sz w:val="24"/>
                <w:szCs w:val="24"/>
              </w:rPr>
              <w:t>符合部门制定的中长期实施规划，得1分。</w:t>
            </w:r>
          </w:p>
        </w:tc>
        <w:tc>
          <w:tcPr>
            <w:tcW w:w="726" w:type="dxa"/>
            <w:tcBorders>
              <w:top w:val="single" w:color="auto" w:sz="4" w:space="0"/>
              <w:left w:val="nil"/>
              <w:bottom w:val="single" w:color="auto" w:sz="4" w:space="0"/>
              <w:right w:val="single" w:color="auto" w:sz="4" w:space="0"/>
            </w:tcBorders>
            <w:noWrap/>
            <w:vAlign w:val="center"/>
          </w:tcPr>
          <w:p w14:paraId="02C16999">
            <w:pPr>
              <w:widowControl/>
              <w:jc w:val="left"/>
              <w:rPr>
                <w:rFonts w:eastAsia="仿宋" w:cs="Times New Roman"/>
                <w:kern w:val="0"/>
                <w:sz w:val="24"/>
                <w:szCs w:val="24"/>
              </w:rPr>
            </w:pPr>
            <w:r>
              <w:rPr>
                <w:rFonts w:eastAsia="仿宋" w:cs="Times New Roman"/>
                <w:kern w:val="0"/>
                <w:sz w:val="24"/>
                <w:szCs w:val="24"/>
              </w:rPr>
              <w:t>　3</w:t>
            </w:r>
          </w:p>
        </w:tc>
      </w:tr>
      <w:tr w14:paraId="31CCD5E2">
        <w:tblPrEx>
          <w:tblCellMar>
            <w:top w:w="0" w:type="dxa"/>
            <w:left w:w="108" w:type="dxa"/>
            <w:bottom w:w="0" w:type="dxa"/>
            <w:right w:w="108" w:type="dxa"/>
          </w:tblCellMar>
        </w:tblPrEx>
        <w:trPr>
          <w:wBefore w:w="0" w:type="auto"/>
          <w:wAfter w:w="0" w:type="auto"/>
          <w:trHeight w:val="296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0DD115A">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FD4C5FF">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2D74CE8">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49922C14">
            <w:pPr>
              <w:widowControl/>
              <w:spacing w:line="280" w:lineRule="exact"/>
              <w:jc w:val="left"/>
              <w:rPr>
                <w:rFonts w:eastAsia="仿宋" w:cs="Times New Roman"/>
                <w:kern w:val="0"/>
                <w:sz w:val="24"/>
                <w:szCs w:val="24"/>
              </w:rPr>
            </w:pPr>
            <w:r>
              <w:rPr>
                <w:rFonts w:eastAsia="仿宋" w:cs="Times New Roman"/>
                <w:kern w:val="0"/>
                <w:sz w:val="24"/>
                <w:szCs w:val="24"/>
              </w:rPr>
              <w:t>绩效指标明确性</w:t>
            </w:r>
          </w:p>
        </w:tc>
        <w:tc>
          <w:tcPr>
            <w:tcW w:w="516" w:type="dxa"/>
            <w:tcBorders>
              <w:top w:val="single" w:color="auto" w:sz="4" w:space="0"/>
              <w:left w:val="nil"/>
              <w:bottom w:val="single" w:color="auto" w:sz="4" w:space="0"/>
              <w:right w:val="single" w:color="auto" w:sz="4" w:space="0"/>
            </w:tcBorders>
            <w:noWrap w:val="0"/>
            <w:vAlign w:val="center"/>
          </w:tcPr>
          <w:p w14:paraId="54D55302">
            <w:pPr>
              <w:widowControl/>
              <w:spacing w:line="280" w:lineRule="exact"/>
              <w:jc w:val="center"/>
              <w:rPr>
                <w:rFonts w:eastAsia="仿宋" w:cs="Times New Roman"/>
                <w:kern w:val="0"/>
                <w:sz w:val="24"/>
                <w:szCs w:val="24"/>
              </w:rPr>
            </w:pPr>
            <w:r>
              <w:rPr>
                <w:rFonts w:eastAsia="仿宋" w:cs="Times New Roman"/>
                <w:kern w:val="0"/>
                <w:sz w:val="24"/>
                <w:szCs w:val="24"/>
              </w:rPr>
              <w:t>7</w:t>
            </w:r>
          </w:p>
        </w:tc>
        <w:tc>
          <w:tcPr>
            <w:tcW w:w="3752" w:type="dxa"/>
            <w:tcBorders>
              <w:top w:val="single" w:color="auto" w:sz="4" w:space="0"/>
              <w:left w:val="nil"/>
              <w:bottom w:val="single" w:color="auto" w:sz="4" w:space="0"/>
              <w:right w:val="single" w:color="auto" w:sz="4" w:space="0"/>
            </w:tcBorders>
            <w:noWrap w:val="0"/>
            <w:vAlign w:val="center"/>
          </w:tcPr>
          <w:p w14:paraId="672CAA98">
            <w:pPr>
              <w:widowControl/>
              <w:spacing w:line="280" w:lineRule="exact"/>
              <w:jc w:val="left"/>
              <w:rPr>
                <w:rFonts w:eastAsia="仿宋" w:cs="Times New Roman"/>
                <w:kern w:val="0"/>
                <w:sz w:val="24"/>
                <w:szCs w:val="24"/>
              </w:rPr>
            </w:pPr>
            <w:r>
              <w:rPr>
                <w:rFonts w:eastAsia="仿宋" w:cs="Times New Roman"/>
                <w:kern w:val="0"/>
                <w:sz w:val="24"/>
                <w:szCs w:val="24"/>
              </w:rPr>
              <w:t xml:space="preserve">  部门依据整体绩效目标所设定的绩效指标是否清晰、细化、可衡量，用以反映和考核部门整体绩效目标的明细化情况。</w:t>
            </w:r>
          </w:p>
        </w:tc>
        <w:tc>
          <w:tcPr>
            <w:tcW w:w="3036" w:type="dxa"/>
            <w:tcBorders>
              <w:top w:val="single" w:color="auto" w:sz="4" w:space="0"/>
              <w:left w:val="nil"/>
              <w:bottom w:val="single" w:color="auto" w:sz="4" w:space="0"/>
              <w:right w:val="single" w:color="auto" w:sz="4" w:space="0"/>
            </w:tcBorders>
            <w:noWrap w:val="0"/>
            <w:vAlign w:val="center"/>
          </w:tcPr>
          <w:p w14:paraId="24335CCA">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将部门整体的绩效目标细化分解为具体的工作任务，得1分；</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 xml:space="preserve">通过清晰、可衡量的指标值予以体现，得2分；   </w:t>
            </w:r>
            <w:r>
              <w:rPr>
                <w:rFonts w:eastAsia="仿宋" w:cs="Times New Roman"/>
                <w:kern w:val="0"/>
                <w:sz w:val="24"/>
                <w:szCs w:val="24"/>
              </w:rPr>
              <w:br w:type="textWrapping"/>
            </w:r>
            <w:r>
              <w:rPr>
                <w:rFonts w:hint="eastAsia" w:ascii="宋体" w:hAnsi="宋体" w:cs="宋体"/>
                <w:kern w:val="0"/>
                <w:sz w:val="24"/>
                <w:szCs w:val="24"/>
              </w:rPr>
              <w:t>③</w:t>
            </w:r>
            <w:r>
              <w:rPr>
                <w:rFonts w:eastAsia="仿宋" w:cs="Times New Roman"/>
                <w:kern w:val="0"/>
                <w:sz w:val="24"/>
                <w:szCs w:val="24"/>
              </w:rPr>
              <w:t>与部门年度的任务数或计划数相对应，得2分；</w:t>
            </w:r>
            <w:r>
              <w:rPr>
                <w:rFonts w:eastAsia="仿宋" w:cs="Times New Roman"/>
                <w:kern w:val="0"/>
                <w:sz w:val="24"/>
                <w:szCs w:val="24"/>
              </w:rPr>
              <w:br w:type="textWrapping"/>
            </w:r>
            <w:r>
              <w:rPr>
                <w:rFonts w:hint="eastAsia" w:ascii="宋体" w:hAnsi="宋体" w:cs="宋体"/>
                <w:kern w:val="0"/>
                <w:sz w:val="24"/>
                <w:szCs w:val="24"/>
              </w:rPr>
              <w:t>④</w:t>
            </w:r>
            <w:r>
              <w:rPr>
                <w:rFonts w:eastAsia="仿宋" w:cs="Times New Roman"/>
                <w:kern w:val="0"/>
                <w:sz w:val="24"/>
                <w:szCs w:val="24"/>
              </w:rPr>
              <w:t>与本年度部门预算资金相匹配，得2分。</w:t>
            </w:r>
          </w:p>
        </w:tc>
        <w:tc>
          <w:tcPr>
            <w:tcW w:w="726" w:type="dxa"/>
            <w:tcBorders>
              <w:top w:val="single" w:color="auto" w:sz="4" w:space="0"/>
              <w:left w:val="nil"/>
              <w:bottom w:val="single" w:color="auto" w:sz="4" w:space="0"/>
              <w:right w:val="single" w:color="auto" w:sz="4" w:space="0"/>
            </w:tcBorders>
            <w:noWrap/>
            <w:vAlign w:val="center"/>
          </w:tcPr>
          <w:p w14:paraId="596B1F28">
            <w:pPr>
              <w:widowControl/>
              <w:jc w:val="left"/>
              <w:rPr>
                <w:rFonts w:eastAsia="仿宋" w:cs="Times New Roman"/>
                <w:kern w:val="0"/>
                <w:sz w:val="24"/>
                <w:szCs w:val="24"/>
              </w:rPr>
            </w:pPr>
            <w:r>
              <w:rPr>
                <w:rFonts w:eastAsia="仿宋" w:cs="Times New Roman"/>
                <w:kern w:val="0"/>
                <w:sz w:val="24"/>
                <w:szCs w:val="24"/>
              </w:rPr>
              <w:t>　7</w:t>
            </w:r>
          </w:p>
        </w:tc>
      </w:tr>
      <w:tr w14:paraId="52DC83C7">
        <w:tblPrEx>
          <w:tblCellMar>
            <w:top w:w="0" w:type="dxa"/>
            <w:left w:w="108" w:type="dxa"/>
            <w:bottom w:w="0" w:type="dxa"/>
            <w:right w:w="108" w:type="dxa"/>
          </w:tblCellMar>
        </w:tblPrEx>
        <w:trPr>
          <w:wBefore w:w="0" w:type="auto"/>
          <w:wAfter w:w="0" w:type="auto"/>
          <w:trHeight w:val="35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2D57F2C1">
            <w:pPr>
              <w:widowControl/>
              <w:spacing w:line="280" w:lineRule="exact"/>
              <w:jc w:val="left"/>
              <w:rPr>
                <w:rFonts w:eastAsia="仿宋" w:cs="Times New Roman"/>
                <w:kern w:val="0"/>
                <w:sz w:val="24"/>
                <w:szCs w:val="24"/>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540E9E1D">
            <w:pPr>
              <w:widowControl/>
              <w:spacing w:line="280" w:lineRule="exact"/>
              <w:jc w:val="center"/>
              <w:rPr>
                <w:rFonts w:eastAsia="仿宋" w:cs="Times New Roman"/>
                <w:kern w:val="0"/>
                <w:sz w:val="24"/>
                <w:szCs w:val="24"/>
              </w:rPr>
            </w:pPr>
            <w:r>
              <w:rPr>
                <w:rFonts w:eastAsia="仿宋" w:cs="Times New Roman"/>
                <w:kern w:val="0"/>
                <w:sz w:val="24"/>
                <w:szCs w:val="24"/>
              </w:rPr>
              <w:t>预算</w:t>
            </w:r>
            <w:r>
              <w:rPr>
                <w:rFonts w:eastAsia="仿宋" w:cs="Times New Roman"/>
                <w:kern w:val="0"/>
                <w:sz w:val="24"/>
                <w:szCs w:val="24"/>
              </w:rPr>
              <w:br w:type="textWrapping"/>
            </w:r>
            <w:r>
              <w:rPr>
                <w:rFonts w:eastAsia="仿宋" w:cs="Times New Roman"/>
                <w:kern w:val="0"/>
                <w:sz w:val="24"/>
                <w:szCs w:val="24"/>
              </w:rPr>
              <w:t>配置</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5A6D6AE">
            <w:pPr>
              <w:widowControl/>
              <w:spacing w:line="280" w:lineRule="exact"/>
              <w:jc w:val="center"/>
              <w:rPr>
                <w:rFonts w:eastAsia="仿宋" w:cs="Times New Roman"/>
                <w:kern w:val="0"/>
                <w:sz w:val="24"/>
                <w:szCs w:val="24"/>
              </w:rPr>
            </w:pPr>
            <w:r>
              <w:rPr>
                <w:rFonts w:eastAsia="仿宋" w:cs="Times New Roman"/>
                <w:kern w:val="0"/>
                <w:sz w:val="24"/>
                <w:szCs w:val="24"/>
              </w:rPr>
              <w:t>5</w:t>
            </w:r>
          </w:p>
        </w:tc>
        <w:tc>
          <w:tcPr>
            <w:tcW w:w="676" w:type="dxa"/>
            <w:tcBorders>
              <w:top w:val="single" w:color="auto" w:sz="4" w:space="0"/>
              <w:left w:val="nil"/>
              <w:bottom w:val="single" w:color="auto" w:sz="4" w:space="0"/>
              <w:right w:val="single" w:color="auto" w:sz="4" w:space="0"/>
            </w:tcBorders>
            <w:noWrap w:val="0"/>
            <w:vAlign w:val="center"/>
          </w:tcPr>
          <w:p w14:paraId="5B272393">
            <w:pPr>
              <w:widowControl/>
              <w:spacing w:line="280" w:lineRule="exact"/>
              <w:jc w:val="left"/>
              <w:rPr>
                <w:rFonts w:eastAsia="仿宋" w:cs="Times New Roman"/>
                <w:kern w:val="0"/>
                <w:sz w:val="24"/>
                <w:szCs w:val="24"/>
              </w:rPr>
            </w:pPr>
            <w:r>
              <w:rPr>
                <w:rFonts w:eastAsia="仿宋" w:cs="Times New Roman"/>
                <w:kern w:val="0"/>
                <w:sz w:val="24"/>
                <w:szCs w:val="24"/>
              </w:rPr>
              <w:t>在职人员控制率</w:t>
            </w:r>
          </w:p>
        </w:tc>
        <w:tc>
          <w:tcPr>
            <w:tcW w:w="516" w:type="dxa"/>
            <w:tcBorders>
              <w:top w:val="single" w:color="auto" w:sz="4" w:space="0"/>
              <w:left w:val="nil"/>
              <w:bottom w:val="single" w:color="auto" w:sz="4" w:space="0"/>
              <w:right w:val="single" w:color="auto" w:sz="4" w:space="0"/>
            </w:tcBorders>
            <w:noWrap w:val="0"/>
            <w:vAlign w:val="center"/>
          </w:tcPr>
          <w:p w14:paraId="353D899A">
            <w:pPr>
              <w:widowControl/>
              <w:spacing w:line="280" w:lineRule="exact"/>
              <w:jc w:val="center"/>
              <w:rPr>
                <w:rFonts w:eastAsia="仿宋" w:cs="Times New Roman"/>
                <w:kern w:val="0"/>
                <w:sz w:val="24"/>
                <w:szCs w:val="24"/>
              </w:rPr>
            </w:pPr>
            <w:r>
              <w:rPr>
                <w:rFonts w:eastAsia="仿宋" w:cs="Times New Roman"/>
                <w:kern w:val="0"/>
                <w:sz w:val="24"/>
                <w:szCs w:val="24"/>
              </w:rPr>
              <w:t>5</w:t>
            </w:r>
          </w:p>
        </w:tc>
        <w:tc>
          <w:tcPr>
            <w:tcW w:w="3752" w:type="dxa"/>
            <w:tcBorders>
              <w:top w:val="single" w:color="auto" w:sz="4" w:space="0"/>
              <w:left w:val="nil"/>
              <w:bottom w:val="single" w:color="auto" w:sz="4" w:space="0"/>
              <w:right w:val="single" w:color="auto" w:sz="4" w:space="0"/>
            </w:tcBorders>
            <w:noWrap w:val="0"/>
            <w:vAlign w:val="center"/>
          </w:tcPr>
          <w:p w14:paraId="73FCEEB0">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部门本年度实际在职人员数与编制数的比率，用以反映和考核部门对人员成本的控制程度。</w:t>
            </w:r>
            <w:r>
              <w:rPr>
                <w:rFonts w:eastAsia="仿宋" w:cs="Times New Roman"/>
                <w:kern w:val="0"/>
                <w:sz w:val="24"/>
                <w:szCs w:val="24"/>
              </w:rPr>
              <w:br w:type="textWrapping"/>
            </w:r>
            <w:r>
              <w:rPr>
                <w:rFonts w:eastAsia="仿宋" w:cs="Times New Roman"/>
                <w:kern w:val="0"/>
                <w:sz w:val="24"/>
                <w:szCs w:val="24"/>
              </w:rPr>
              <w:t xml:space="preserve">  在职人员控制率=（在职人员数/编制数）×100%。</w:t>
            </w:r>
            <w:r>
              <w:rPr>
                <w:rFonts w:eastAsia="仿宋" w:cs="Times New Roman"/>
                <w:kern w:val="0"/>
                <w:sz w:val="24"/>
                <w:szCs w:val="24"/>
              </w:rPr>
              <w:br w:type="textWrapping"/>
            </w:r>
            <w:r>
              <w:rPr>
                <w:rFonts w:eastAsia="仿宋" w:cs="Times New Roman"/>
                <w:kern w:val="0"/>
                <w:sz w:val="24"/>
                <w:szCs w:val="24"/>
              </w:rPr>
              <w:t xml:space="preserve">  在职人员数：部门实际在职人数，以财政部确定的部门决算编制口径为准。扣掉编制部门和劳动部门批复同意的临聘人员。</w:t>
            </w:r>
            <w:r>
              <w:rPr>
                <w:rFonts w:eastAsia="仿宋" w:cs="Times New Roman"/>
                <w:kern w:val="0"/>
                <w:sz w:val="24"/>
                <w:szCs w:val="24"/>
              </w:rPr>
              <w:br w:type="textWrapping"/>
            </w:r>
            <w:r>
              <w:rPr>
                <w:rFonts w:eastAsia="仿宋" w:cs="Times New Roman"/>
                <w:kern w:val="0"/>
                <w:sz w:val="24"/>
                <w:szCs w:val="24"/>
              </w:rPr>
              <w:t xml:space="preserve">  编制数：机构编制部门核定批复的部门的人员编制数。</w:t>
            </w:r>
          </w:p>
        </w:tc>
        <w:tc>
          <w:tcPr>
            <w:tcW w:w="3036" w:type="dxa"/>
            <w:tcBorders>
              <w:top w:val="single" w:color="auto" w:sz="4" w:space="0"/>
              <w:left w:val="nil"/>
              <w:bottom w:val="single" w:color="auto" w:sz="4" w:space="0"/>
              <w:right w:val="single" w:color="auto" w:sz="4" w:space="0"/>
            </w:tcBorders>
            <w:noWrap w:val="0"/>
            <w:vAlign w:val="center"/>
          </w:tcPr>
          <w:p w14:paraId="5386A4B0">
            <w:pPr>
              <w:widowControl/>
              <w:spacing w:line="280" w:lineRule="exact"/>
              <w:jc w:val="left"/>
              <w:rPr>
                <w:rFonts w:eastAsia="仿宋" w:cs="Times New Roman"/>
                <w:kern w:val="0"/>
                <w:sz w:val="24"/>
                <w:szCs w:val="24"/>
              </w:rPr>
            </w:pPr>
            <w:r>
              <w:rPr>
                <w:rFonts w:eastAsia="仿宋" w:cs="Times New Roman"/>
                <w:kern w:val="0"/>
                <w:sz w:val="24"/>
                <w:szCs w:val="24"/>
              </w:rPr>
              <w:t>在职人员控制率≤100%，得1分；</w:t>
            </w:r>
            <w:r>
              <w:rPr>
                <w:rFonts w:eastAsia="仿宋" w:cs="Times New Roman"/>
                <w:kern w:val="0"/>
                <w:sz w:val="24"/>
                <w:szCs w:val="24"/>
              </w:rPr>
              <w:br w:type="textWrapping"/>
            </w:r>
            <w:r>
              <w:rPr>
                <w:rFonts w:eastAsia="仿宋" w:cs="Times New Roman"/>
                <w:kern w:val="0"/>
                <w:sz w:val="24"/>
                <w:szCs w:val="24"/>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14:paraId="291528CB">
            <w:pPr>
              <w:widowControl/>
              <w:jc w:val="left"/>
              <w:rPr>
                <w:rFonts w:eastAsia="仿宋" w:cs="Times New Roman"/>
                <w:kern w:val="0"/>
                <w:sz w:val="24"/>
                <w:szCs w:val="24"/>
              </w:rPr>
            </w:pPr>
            <w:r>
              <w:rPr>
                <w:rFonts w:eastAsia="仿宋" w:cs="Times New Roman"/>
                <w:kern w:val="0"/>
                <w:sz w:val="24"/>
                <w:szCs w:val="24"/>
              </w:rPr>
              <w:t>　5</w:t>
            </w:r>
          </w:p>
        </w:tc>
      </w:tr>
      <w:tr w14:paraId="47517BB1">
        <w:tblPrEx>
          <w:tblCellMar>
            <w:top w:w="0" w:type="dxa"/>
            <w:left w:w="108" w:type="dxa"/>
            <w:bottom w:w="0" w:type="dxa"/>
            <w:right w:w="108" w:type="dxa"/>
          </w:tblCellMar>
        </w:tblPrEx>
        <w:trPr>
          <w:wBefore w:w="0" w:type="auto"/>
          <w:wAfter w:w="0" w:type="auto"/>
          <w:trHeight w:val="339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2BD4212">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4D63A9B7">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43181875">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6CDD185D">
            <w:pPr>
              <w:widowControl/>
              <w:spacing w:line="280" w:lineRule="exact"/>
              <w:jc w:val="left"/>
              <w:rPr>
                <w:rFonts w:eastAsia="仿宋" w:cs="Times New Roman"/>
                <w:kern w:val="0"/>
                <w:sz w:val="24"/>
                <w:szCs w:val="24"/>
              </w:rPr>
            </w:pPr>
            <w:r>
              <w:rPr>
                <w:rFonts w:eastAsia="仿宋" w:cs="Times New Roman"/>
                <w:kern w:val="0"/>
                <w:sz w:val="24"/>
                <w:szCs w:val="24"/>
              </w:rPr>
              <w:t>“三公经费”变动率</w:t>
            </w:r>
          </w:p>
        </w:tc>
        <w:tc>
          <w:tcPr>
            <w:tcW w:w="516" w:type="dxa"/>
            <w:tcBorders>
              <w:top w:val="single" w:color="auto" w:sz="4" w:space="0"/>
              <w:left w:val="nil"/>
              <w:bottom w:val="single" w:color="auto" w:sz="4" w:space="0"/>
              <w:right w:val="single" w:color="auto" w:sz="4" w:space="0"/>
            </w:tcBorders>
            <w:noWrap w:val="0"/>
            <w:vAlign w:val="center"/>
          </w:tcPr>
          <w:p w14:paraId="6F6B4107">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3E001555">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部门本年度“三公经费”预算数与上年度“三公经费”预算数的变动比率，用以反映和考核部门对控制重点行政成本的努力程度。</w:t>
            </w:r>
            <w:r>
              <w:rPr>
                <w:rFonts w:eastAsia="仿宋" w:cs="Times New Roman"/>
                <w:kern w:val="0"/>
                <w:sz w:val="24"/>
                <w:szCs w:val="24"/>
              </w:rPr>
              <w:br w:type="textWrapping"/>
            </w:r>
            <w:r>
              <w:rPr>
                <w:rFonts w:eastAsia="仿宋" w:cs="Times New Roman"/>
                <w:kern w:val="0"/>
                <w:sz w:val="24"/>
                <w:szCs w:val="24"/>
              </w:rPr>
              <w:t xml:space="preserve">  “三公经费”变动率=[（本年度“三公经费”预算数-上年度“三公经费”预算数）/上年度“三公经费”预算数]×100%。</w:t>
            </w:r>
            <w:r>
              <w:rPr>
                <w:rFonts w:eastAsia="仿宋" w:cs="Times New Roman"/>
                <w:kern w:val="0"/>
                <w:sz w:val="24"/>
                <w:szCs w:val="24"/>
              </w:rPr>
              <w:br w:type="textWrapping"/>
            </w:r>
            <w:r>
              <w:rPr>
                <w:rFonts w:eastAsia="仿宋" w:cs="Times New Roman"/>
                <w:kern w:val="0"/>
                <w:sz w:val="24"/>
                <w:szCs w:val="24"/>
              </w:rPr>
              <w:t xml:space="preserve">  三公经费：年度预算安排的因公出国（境）费、公务车辆购置及运行费和公务招待费。</w:t>
            </w:r>
          </w:p>
        </w:tc>
        <w:tc>
          <w:tcPr>
            <w:tcW w:w="3036" w:type="dxa"/>
            <w:tcBorders>
              <w:top w:val="single" w:color="auto" w:sz="4" w:space="0"/>
              <w:left w:val="nil"/>
              <w:bottom w:val="single" w:color="auto" w:sz="4" w:space="0"/>
              <w:right w:val="single" w:color="auto" w:sz="4" w:space="0"/>
            </w:tcBorders>
            <w:noWrap w:val="0"/>
            <w:vAlign w:val="center"/>
          </w:tcPr>
          <w:p w14:paraId="1ACAE641">
            <w:pPr>
              <w:widowControl/>
              <w:spacing w:line="280" w:lineRule="exact"/>
              <w:jc w:val="left"/>
              <w:rPr>
                <w:rFonts w:eastAsia="仿宋" w:cs="Times New Roman"/>
                <w:kern w:val="0"/>
                <w:sz w:val="24"/>
                <w:szCs w:val="24"/>
              </w:rPr>
            </w:pPr>
            <w:r>
              <w:rPr>
                <w:rFonts w:eastAsia="仿宋" w:cs="Times New Roman"/>
                <w:kern w:val="0"/>
                <w:sz w:val="24"/>
                <w:szCs w:val="24"/>
              </w:rPr>
              <w:t>“三公经费”变动率≤0，得1分；</w:t>
            </w:r>
            <w:r>
              <w:rPr>
                <w:rFonts w:eastAsia="仿宋" w:cs="Times New Roman"/>
                <w:kern w:val="0"/>
                <w:sz w:val="24"/>
                <w:szCs w:val="24"/>
              </w:rPr>
              <w:br w:type="textWrapping"/>
            </w:r>
            <w:r>
              <w:rPr>
                <w:rFonts w:eastAsia="仿宋" w:cs="Times New Roman"/>
                <w:kern w:val="0"/>
                <w:sz w:val="24"/>
                <w:szCs w:val="24"/>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14:paraId="29C98519">
            <w:pPr>
              <w:widowControl/>
              <w:jc w:val="left"/>
              <w:rPr>
                <w:rFonts w:eastAsia="仿宋" w:cs="Times New Roman"/>
                <w:kern w:val="0"/>
                <w:sz w:val="24"/>
                <w:szCs w:val="24"/>
              </w:rPr>
            </w:pPr>
            <w:r>
              <w:rPr>
                <w:rFonts w:eastAsia="仿宋" w:cs="Times New Roman"/>
                <w:kern w:val="0"/>
                <w:sz w:val="24"/>
                <w:szCs w:val="24"/>
              </w:rPr>
              <w:t>　0</w:t>
            </w:r>
          </w:p>
        </w:tc>
      </w:tr>
      <w:tr w14:paraId="24EDC768">
        <w:tblPrEx>
          <w:tblCellMar>
            <w:top w:w="0" w:type="dxa"/>
            <w:left w:w="108" w:type="dxa"/>
            <w:bottom w:w="0" w:type="dxa"/>
            <w:right w:w="108" w:type="dxa"/>
          </w:tblCellMar>
        </w:tblPrEx>
        <w:trPr>
          <w:wBefore w:w="0" w:type="auto"/>
          <w:wAfter w:w="0" w:type="auto"/>
          <w:trHeight w:val="382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935896F">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BDCD483">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AB0449A">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1E9DD407">
            <w:pPr>
              <w:widowControl/>
              <w:spacing w:line="280" w:lineRule="exact"/>
              <w:jc w:val="left"/>
              <w:rPr>
                <w:rFonts w:eastAsia="仿宋" w:cs="Times New Roman"/>
                <w:kern w:val="0"/>
                <w:sz w:val="24"/>
                <w:szCs w:val="24"/>
              </w:rPr>
            </w:pPr>
            <w:r>
              <w:rPr>
                <w:rFonts w:eastAsia="仿宋" w:cs="Times New Roman"/>
                <w:kern w:val="0"/>
                <w:sz w:val="24"/>
                <w:szCs w:val="24"/>
              </w:rPr>
              <w:t>重点支出安排率</w:t>
            </w:r>
          </w:p>
        </w:tc>
        <w:tc>
          <w:tcPr>
            <w:tcW w:w="516" w:type="dxa"/>
            <w:tcBorders>
              <w:top w:val="single" w:color="auto" w:sz="4" w:space="0"/>
              <w:left w:val="nil"/>
              <w:bottom w:val="single" w:color="auto" w:sz="4" w:space="0"/>
              <w:right w:val="single" w:color="auto" w:sz="4" w:space="0"/>
            </w:tcBorders>
            <w:noWrap w:val="0"/>
            <w:vAlign w:val="center"/>
          </w:tcPr>
          <w:p w14:paraId="2B32B8B6">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3752" w:type="dxa"/>
            <w:tcBorders>
              <w:top w:val="single" w:color="auto" w:sz="4" w:space="0"/>
              <w:left w:val="nil"/>
              <w:bottom w:val="single" w:color="auto" w:sz="4" w:space="0"/>
              <w:right w:val="single" w:color="auto" w:sz="4" w:space="0"/>
            </w:tcBorders>
            <w:noWrap w:val="0"/>
            <w:vAlign w:val="center"/>
          </w:tcPr>
          <w:p w14:paraId="27DBA6FE">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部门本年度预算安排的重点预算支出与部门预算总支出的比率，用以反映和考核部门对履行主要职责或完成重点任务的保障程度。</w:t>
            </w:r>
            <w:r>
              <w:rPr>
                <w:rFonts w:eastAsia="仿宋" w:cs="Times New Roman"/>
                <w:kern w:val="0"/>
                <w:sz w:val="24"/>
                <w:szCs w:val="24"/>
              </w:rPr>
              <w:br w:type="textWrapping"/>
            </w:r>
            <w:r>
              <w:rPr>
                <w:rFonts w:eastAsia="仿宋" w:cs="Times New Roman"/>
                <w:kern w:val="0"/>
                <w:sz w:val="24"/>
                <w:szCs w:val="24"/>
              </w:rPr>
              <w:t xml:space="preserve">  重点支出安排率=（重点预算支出/预算总支出）×100%。</w:t>
            </w:r>
            <w:r>
              <w:rPr>
                <w:rFonts w:eastAsia="仿宋" w:cs="Times New Roman"/>
                <w:kern w:val="0"/>
                <w:sz w:val="24"/>
                <w:szCs w:val="24"/>
              </w:rPr>
              <w:br w:type="textWrapping"/>
            </w:r>
            <w:r>
              <w:rPr>
                <w:rFonts w:eastAsia="仿宋" w:cs="Times New Roman"/>
                <w:kern w:val="0"/>
                <w:sz w:val="24"/>
                <w:szCs w:val="24"/>
              </w:rPr>
              <w:t xml:space="preserve">  重点预算支出：部门年度预算安排的，与本部门履职和发展密切相关、具有明显社会和经济影响、党委政府关心或社会比较关注的预算支出总额。</w:t>
            </w:r>
            <w:r>
              <w:rPr>
                <w:rFonts w:eastAsia="仿宋" w:cs="Times New Roman"/>
                <w:kern w:val="0"/>
                <w:sz w:val="24"/>
                <w:szCs w:val="24"/>
              </w:rPr>
              <w:br w:type="textWrapping"/>
            </w:r>
            <w:r>
              <w:rPr>
                <w:rFonts w:eastAsia="仿宋" w:cs="Times New Roman"/>
                <w:kern w:val="0"/>
                <w:sz w:val="24"/>
                <w:szCs w:val="24"/>
              </w:rPr>
              <w:t xml:space="preserve">  预算总支出：部门年度预算安排的预算支出总额。</w:t>
            </w:r>
          </w:p>
        </w:tc>
        <w:tc>
          <w:tcPr>
            <w:tcW w:w="3036" w:type="dxa"/>
            <w:tcBorders>
              <w:top w:val="single" w:color="auto" w:sz="4" w:space="0"/>
              <w:left w:val="nil"/>
              <w:bottom w:val="single" w:color="auto" w:sz="4" w:space="0"/>
              <w:right w:val="single" w:color="auto" w:sz="4" w:space="0"/>
            </w:tcBorders>
            <w:noWrap w:val="0"/>
            <w:vAlign w:val="center"/>
          </w:tcPr>
          <w:p w14:paraId="6340478D">
            <w:pPr>
              <w:widowControl/>
              <w:spacing w:line="280" w:lineRule="exact"/>
              <w:jc w:val="left"/>
              <w:rPr>
                <w:rFonts w:eastAsia="仿宋" w:cs="Times New Roman"/>
                <w:kern w:val="0"/>
                <w:sz w:val="24"/>
                <w:szCs w:val="24"/>
              </w:rPr>
            </w:pPr>
            <w:r>
              <w:rPr>
                <w:rFonts w:eastAsia="仿宋" w:cs="Times New Roman"/>
                <w:kern w:val="0"/>
                <w:sz w:val="24"/>
                <w:szCs w:val="24"/>
              </w:rPr>
              <w:t>重点支出安排率≥90%，得3分；</w:t>
            </w:r>
            <w:r>
              <w:rPr>
                <w:rFonts w:eastAsia="仿宋" w:cs="Times New Roman"/>
                <w:kern w:val="0"/>
                <w:sz w:val="24"/>
                <w:szCs w:val="24"/>
              </w:rPr>
              <w:br w:type="textWrapping"/>
            </w:r>
            <w:r>
              <w:rPr>
                <w:rFonts w:eastAsia="仿宋" w:cs="Times New Roman"/>
                <w:kern w:val="0"/>
                <w:sz w:val="24"/>
                <w:szCs w:val="24"/>
              </w:rPr>
              <w:t>80%（含）-90%，得2分；</w:t>
            </w:r>
            <w:r>
              <w:rPr>
                <w:rFonts w:eastAsia="仿宋" w:cs="Times New Roman"/>
                <w:kern w:val="0"/>
                <w:sz w:val="24"/>
                <w:szCs w:val="24"/>
              </w:rPr>
              <w:br w:type="textWrapping"/>
            </w:r>
            <w:r>
              <w:rPr>
                <w:rFonts w:eastAsia="仿宋" w:cs="Times New Roman"/>
                <w:kern w:val="0"/>
                <w:sz w:val="24"/>
                <w:szCs w:val="24"/>
              </w:rPr>
              <w:t>70%（含）-80%，得1分；</w:t>
            </w:r>
            <w:r>
              <w:rPr>
                <w:rFonts w:eastAsia="仿宋" w:cs="Times New Roman"/>
                <w:kern w:val="0"/>
                <w:sz w:val="24"/>
                <w:szCs w:val="24"/>
              </w:rPr>
              <w:br w:type="textWrapping"/>
            </w:r>
            <w:r>
              <w:rPr>
                <w:rFonts w:eastAsia="仿宋" w:cs="Times New Roman"/>
                <w:kern w:val="0"/>
                <w:sz w:val="24"/>
                <w:szCs w:val="24"/>
              </w:rPr>
              <w:t>60%（含）-70%，得0.5分；</w:t>
            </w:r>
            <w:r>
              <w:rPr>
                <w:rFonts w:eastAsia="仿宋" w:cs="Times New Roman"/>
                <w:kern w:val="0"/>
                <w:sz w:val="24"/>
                <w:szCs w:val="24"/>
              </w:rPr>
              <w:br w:type="textWrapping"/>
            </w:r>
            <w:r>
              <w:rPr>
                <w:rFonts w:eastAsia="仿宋" w:cs="Times New Roman"/>
                <w:kern w:val="0"/>
                <w:sz w:val="24"/>
                <w:szCs w:val="24"/>
              </w:rPr>
              <w:t>＜60%，得0分。</w:t>
            </w:r>
          </w:p>
        </w:tc>
        <w:tc>
          <w:tcPr>
            <w:tcW w:w="726" w:type="dxa"/>
            <w:tcBorders>
              <w:top w:val="single" w:color="auto" w:sz="4" w:space="0"/>
              <w:left w:val="nil"/>
              <w:bottom w:val="single" w:color="auto" w:sz="4" w:space="0"/>
              <w:right w:val="single" w:color="auto" w:sz="4" w:space="0"/>
            </w:tcBorders>
            <w:noWrap/>
            <w:vAlign w:val="center"/>
          </w:tcPr>
          <w:p w14:paraId="2D3D207A">
            <w:pPr>
              <w:widowControl/>
              <w:jc w:val="left"/>
              <w:rPr>
                <w:rFonts w:eastAsia="仿宋" w:cs="Times New Roman"/>
                <w:kern w:val="0"/>
                <w:sz w:val="24"/>
                <w:szCs w:val="24"/>
              </w:rPr>
            </w:pPr>
            <w:r>
              <w:rPr>
                <w:rFonts w:eastAsia="仿宋" w:cs="Times New Roman"/>
                <w:kern w:val="0"/>
                <w:sz w:val="24"/>
                <w:szCs w:val="24"/>
              </w:rPr>
              <w:t>　3</w:t>
            </w:r>
          </w:p>
        </w:tc>
      </w:tr>
      <w:tr w14:paraId="42887056">
        <w:tblPrEx>
          <w:tblCellMar>
            <w:top w:w="0" w:type="dxa"/>
            <w:left w:w="108" w:type="dxa"/>
            <w:bottom w:w="0" w:type="dxa"/>
            <w:right w:w="108" w:type="dxa"/>
          </w:tblCellMar>
        </w:tblPrEx>
        <w:trPr>
          <w:wBefore w:w="0" w:type="auto"/>
          <w:wAfter w:w="0" w:type="auto"/>
          <w:trHeight w:val="1694"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1CE656CE">
            <w:pPr>
              <w:widowControl/>
              <w:spacing w:line="280" w:lineRule="exact"/>
              <w:jc w:val="center"/>
              <w:rPr>
                <w:rFonts w:eastAsia="仿宋" w:cs="Times New Roman"/>
                <w:kern w:val="0"/>
                <w:sz w:val="24"/>
                <w:szCs w:val="24"/>
              </w:rPr>
            </w:pPr>
            <w:r>
              <w:rPr>
                <w:rFonts w:eastAsia="仿宋" w:cs="Times New Roman"/>
                <w:kern w:val="0"/>
                <w:sz w:val="24"/>
                <w:szCs w:val="24"/>
              </w:rPr>
              <w:t>过   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4FAE083F">
            <w:pPr>
              <w:widowControl/>
              <w:spacing w:line="280" w:lineRule="exact"/>
              <w:jc w:val="center"/>
              <w:rPr>
                <w:rFonts w:eastAsia="仿宋" w:cs="Times New Roman"/>
                <w:kern w:val="0"/>
                <w:sz w:val="24"/>
                <w:szCs w:val="24"/>
              </w:rPr>
            </w:pPr>
            <w:r>
              <w:rPr>
                <w:rFonts w:eastAsia="仿宋" w:cs="Times New Roman"/>
                <w:kern w:val="0"/>
                <w:sz w:val="24"/>
                <w:szCs w:val="24"/>
              </w:rPr>
              <w:t>预算</w:t>
            </w:r>
            <w:r>
              <w:rPr>
                <w:rFonts w:eastAsia="仿宋" w:cs="Times New Roman"/>
                <w:kern w:val="0"/>
                <w:sz w:val="24"/>
                <w:szCs w:val="24"/>
              </w:rPr>
              <w:br w:type="textWrapping"/>
            </w:r>
            <w:r>
              <w:rPr>
                <w:rFonts w:eastAsia="仿宋" w:cs="Times New Roman"/>
                <w:kern w:val="0"/>
                <w:sz w:val="24"/>
                <w:szCs w:val="24"/>
              </w:rPr>
              <w:t>执行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4F5B3316">
            <w:pPr>
              <w:widowControl/>
              <w:spacing w:line="280" w:lineRule="exact"/>
              <w:jc w:val="center"/>
              <w:rPr>
                <w:rFonts w:eastAsia="仿宋" w:cs="Times New Roman"/>
                <w:kern w:val="0"/>
                <w:sz w:val="24"/>
                <w:szCs w:val="24"/>
              </w:rPr>
            </w:pPr>
            <w:r>
              <w:rPr>
                <w:rFonts w:eastAsia="仿宋" w:cs="Times New Roman"/>
                <w:kern w:val="0"/>
                <w:sz w:val="24"/>
                <w:szCs w:val="24"/>
              </w:rPr>
              <w:t>13</w:t>
            </w:r>
          </w:p>
        </w:tc>
        <w:tc>
          <w:tcPr>
            <w:tcW w:w="676" w:type="dxa"/>
            <w:tcBorders>
              <w:top w:val="single" w:color="auto" w:sz="4" w:space="0"/>
              <w:left w:val="nil"/>
              <w:bottom w:val="single" w:color="auto" w:sz="4" w:space="0"/>
              <w:right w:val="single" w:color="auto" w:sz="4" w:space="0"/>
            </w:tcBorders>
            <w:noWrap w:val="0"/>
            <w:vAlign w:val="center"/>
          </w:tcPr>
          <w:p w14:paraId="25FDA8E3">
            <w:pPr>
              <w:widowControl/>
              <w:spacing w:line="280" w:lineRule="exact"/>
              <w:jc w:val="left"/>
              <w:rPr>
                <w:rFonts w:eastAsia="仿宋" w:cs="Times New Roman"/>
                <w:kern w:val="0"/>
                <w:sz w:val="24"/>
                <w:szCs w:val="24"/>
              </w:rPr>
            </w:pPr>
            <w:r>
              <w:rPr>
                <w:rFonts w:eastAsia="仿宋" w:cs="Times New Roman"/>
                <w:kern w:val="0"/>
                <w:sz w:val="24"/>
                <w:szCs w:val="24"/>
              </w:rPr>
              <w:t>预算完成率</w:t>
            </w:r>
          </w:p>
        </w:tc>
        <w:tc>
          <w:tcPr>
            <w:tcW w:w="516" w:type="dxa"/>
            <w:tcBorders>
              <w:top w:val="single" w:color="auto" w:sz="4" w:space="0"/>
              <w:left w:val="nil"/>
              <w:bottom w:val="single" w:color="auto" w:sz="4" w:space="0"/>
              <w:right w:val="single" w:color="auto" w:sz="4" w:space="0"/>
            </w:tcBorders>
            <w:noWrap w:val="0"/>
            <w:vAlign w:val="center"/>
          </w:tcPr>
          <w:p w14:paraId="316A7A5D">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3752" w:type="dxa"/>
            <w:tcBorders>
              <w:top w:val="single" w:color="auto" w:sz="4" w:space="0"/>
              <w:left w:val="nil"/>
              <w:bottom w:val="single" w:color="auto" w:sz="4" w:space="0"/>
              <w:right w:val="single" w:color="auto" w:sz="4" w:space="0"/>
            </w:tcBorders>
            <w:noWrap w:val="0"/>
            <w:vAlign w:val="center"/>
          </w:tcPr>
          <w:p w14:paraId="4F0CFA27">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部门本年度预算完成数与预算数的比率，用以反映和考核部门预算完成程度。</w:t>
            </w:r>
            <w:r>
              <w:rPr>
                <w:rFonts w:eastAsia="仿宋" w:cs="Times New Roman"/>
                <w:kern w:val="0"/>
                <w:sz w:val="24"/>
                <w:szCs w:val="24"/>
              </w:rPr>
              <w:br w:type="textWrapping"/>
            </w:r>
            <w:r>
              <w:rPr>
                <w:rFonts w:eastAsia="仿宋" w:cs="Times New Roman"/>
                <w:kern w:val="0"/>
                <w:sz w:val="24"/>
                <w:szCs w:val="24"/>
              </w:rPr>
              <w:t xml:space="preserve">  预算完成率=（预算完成数/预算数）×100%。</w:t>
            </w:r>
          </w:p>
        </w:tc>
        <w:tc>
          <w:tcPr>
            <w:tcW w:w="3036" w:type="dxa"/>
            <w:tcBorders>
              <w:top w:val="single" w:color="auto" w:sz="4" w:space="0"/>
              <w:left w:val="nil"/>
              <w:bottom w:val="single" w:color="auto" w:sz="4" w:space="0"/>
              <w:right w:val="single" w:color="auto" w:sz="4" w:space="0"/>
            </w:tcBorders>
            <w:noWrap w:val="0"/>
            <w:vAlign w:val="center"/>
          </w:tcPr>
          <w:p w14:paraId="00969165">
            <w:pPr>
              <w:widowControl/>
              <w:spacing w:line="280" w:lineRule="exact"/>
              <w:jc w:val="left"/>
              <w:rPr>
                <w:rFonts w:eastAsia="仿宋" w:cs="Times New Roman"/>
                <w:kern w:val="0"/>
                <w:sz w:val="24"/>
                <w:szCs w:val="24"/>
              </w:rPr>
            </w:pPr>
            <w:r>
              <w:rPr>
                <w:rFonts w:eastAsia="仿宋" w:cs="Times New Roman"/>
                <w:kern w:val="0"/>
                <w:sz w:val="24"/>
                <w:szCs w:val="24"/>
              </w:rPr>
              <w:t>预算完成率≥95%，得3分；</w:t>
            </w:r>
            <w:r>
              <w:rPr>
                <w:rFonts w:eastAsia="仿宋" w:cs="Times New Roman"/>
                <w:kern w:val="0"/>
                <w:sz w:val="24"/>
                <w:szCs w:val="24"/>
              </w:rPr>
              <w:br w:type="textWrapping"/>
            </w:r>
            <w:r>
              <w:rPr>
                <w:rFonts w:eastAsia="仿宋" w:cs="Times New Roman"/>
                <w:kern w:val="0"/>
                <w:sz w:val="24"/>
                <w:szCs w:val="24"/>
              </w:rPr>
              <w:t>每降低5%，扣1分，扣完为止。</w:t>
            </w:r>
          </w:p>
        </w:tc>
        <w:tc>
          <w:tcPr>
            <w:tcW w:w="726" w:type="dxa"/>
            <w:tcBorders>
              <w:top w:val="single" w:color="auto" w:sz="4" w:space="0"/>
              <w:left w:val="nil"/>
              <w:bottom w:val="single" w:color="auto" w:sz="4" w:space="0"/>
              <w:right w:val="single" w:color="auto" w:sz="4" w:space="0"/>
            </w:tcBorders>
            <w:noWrap/>
            <w:vAlign w:val="center"/>
          </w:tcPr>
          <w:p w14:paraId="6B217B96">
            <w:pPr>
              <w:widowControl/>
              <w:jc w:val="left"/>
              <w:rPr>
                <w:rFonts w:eastAsia="仿宋" w:cs="Times New Roman"/>
                <w:kern w:val="0"/>
                <w:sz w:val="24"/>
                <w:szCs w:val="24"/>
              </w:rPr>
            </w:pPr>
            <w:r>
              <w:rPr>
                <w:rFonts w:eastAsia="仿宋" w:cs="Times New Roman"/>
                <w:kern w:val="0"/>
                <w:sz w:val="24"/>
                <w:szCs w:val="24"/>
              </w:rPr>
              <w:t>　3</w:t>
            </w:r>
          </w:p>
        </w:tc>
      </w:tr>
      <w:tr w14:paraId="6DAB4185">
        <w:tblPrEx>
          <w:tblCellMar>
            <w:top w:w="0" w:type="dxa"/>
            <w:left w:w="108" w:type="dxa"/>
            <w:bottom w:w="0" w:type="dxa"/>
            <w:right w:w="108" w:type="dxa"/>
          </w:tblCellMar>
        </w:tblPrEx>
        <w:trPr>
          <w:wBefore w:w="0" w:type="auto"/>
          <w:wAfter w:w="0" w:type="auto"/>
          <w:trHeight w:val="3514"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2C93B0D">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79C72E6">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17658DC9">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3A55D8E9">
            <w:pPr>
              <w:widowControl/>
              <w:spacing w:line="280" w:lineRule="exact"/>
              <w:jc w:val="left"/>
              <w:rPr>
                <w:rFonts w:eastAsia="仿宋" w:cs="Times New Roman"/>
                <w:kern w:val="0"/>
                <w:sz w:val="24"/>
                <w:szCs w:val="24"/>
              </w:rPr>
            </w:pPr>
            <w:r>
              <w:rPr>
                <w:rFonts w:eastAsia="仿宋" w:cs="Times New Roman"/>
                <w:kern w:val="0"/>
                <w:sz w:val="24"/>
                <w:szCs w:val="24"/>
              </w:rPr>
              <w:t>预算调整率</w:t>
            </w:r>
          </w:p>
        </w:tc>
        <w:tc>
          <w:tcPr>
            <w:tcW w:w="516" w:type="dxa"/>
            <w:tcBorders>
              <w:top w:val="single" w:color="auto" w:sz="4" w:space="0"/>
              <w:left w:val="nil"/>
              <w:bottom w:val="single" w:color="auto" w:sz="4" w:space="0"/>
              <w:right w:val="single" w:color="auto" w:sz="4" w:space="0"/>
            </w:tcBorders>
            <w:noWrap w:val="0"/>
            <w:vAlign w:val="center"/>
          </w:tcPr>
          <w:p w14:paraId="1EDCC369">
            <w:pPr>
              <w:widowControl/>
              <w:spacing w:line="280" w:lineRule="exact"/>
              <w:jc w:val="center"/>
              <w:rPr>
                <w:rFonts w:eastAsia="仿宋" w:cs="Times New Roman"/>
                <w:kern w:val="0"/>
                <w:sz w:val="24"/>
                <w:szCs w:val="24"/>
              </w:rPr>
            </w:pPr>
            <w:r>
              <w:rPr>
                <w:rFonts w:eastAsia="仿宋" w:cs="Times New Roman"/>
                <w:kern w:val="0"/>
                <w:sz w:val="24"/>
                <w:szCs w:val="24"/>
              </w:rPr>
              <w:t>2</w:t>
            </w:r>
          </w:p>
        </w:tc>
        <w:tc>
          <w:tcPr>
            <w:tcW w:w="3752" w:type="dxa"/>
            <w:tcBorders>
              <w:top w:val="single" w:color="auto" w:sz="4" w:space="0"/>
              <w:left w:val="nil"/>
              <w:bottom w:val="single" w:color="auto" w:sz="4" w:space="0"/>
              <w:right w:val="single" w:color="auto" w:sz="4" w:space="0"/>
            </w:tcBorders>
            <w:noWrap w:val="0"/>
            <w:vAlign w:val="center"/>
          </w:tcPr>
          <w:p w14:paraId="43220119">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部门本年度预算调整数与预算数的比率，用以反映和考核部门预算的调整程度。</w:t>
            </w:r>
            <w:r>
              <w:rPr>
                <w:rFonts w:eastAsia="仿宋" w:cs="Times New Roman"/>
                <w:kern w:val="0"/>
                <w:sz w:val="24"/>
                <w:szCs w:val="24"/>
              </w:rPr>
              <w:br w:type="textWrapping"/>
            </w:r>
            <w:r>
              <w:rPr>
                <w:rFonts w:eastAsia="仿宋" w:cs="Times New Roman"/>
                <w:kern w:val="0"/>
                <w:sz w:val="24"/>
                <w:szCs w:val="24"/>
              </w:rPr>
              <w:t xml:space="preserve">  预算调整率=（本年预算调整数/年初预算）×100%。</w:t>
            </w:r>
            <w:r>
              <w:rPr>
                <w:rFonts w:eastAsia="仿宋" w:cs="Times New Roman"/>
                <w:kern w:val="0"/>
                <w:sz w:val="24"/>
                <w:szCs w:val="24"/>
              </w:rPr>
              <w:br w:type="textWrapping"/>
            </w:r>
            <w:r>
              <w:rPr>
                <w:rFonts w:eastAsia="仿宋" w:cs="Times New Roman"/>
                <w:kern w:val="0"/>
                <w:sz w:val="24"/>
                <w:szCs w:val="24"/>
              </w:rPr>
              <w:t xml:space="preserve">  本年预算调整数：部门在本年度内涉及预算的追加、追减或结构调整的资金总和（因落实国家政策、发生不可抗力、上级部门或本级党委政府临时交办而产生的调整除外）。</w:t>
            </w:r>
          </w:p>
        </w:tc>
        <w:tc>
          <w:tcPr>
            <w:tcW w:w="3036" w:type="dxa"/>
            <w:tcBorders>
              <w:top w:val="single" w:color="auto" w:sz="4" w:space="0"/>
              <w:left w:val="nil"/>
              <w:bottom w:val="single" w:color="auto" w:sz="4" w:space="0"/>
              <w:right w:val="single" w:color="auto" w:sz="4" w:space="0"/>
            </w:tcBorders>
            <w:noWrap w:val="0"/>
            <w:vAlign w:val="center"/>
          </w:tcPr>
          <w:p w14:paraId="5FBE3431">
            <w:pPr>
              <w:widowControl/>
              <w:spacing w:line="280" w:lineRule="exact"/>
              <w:jc w:val="left"/>
              <w:rPr>
                <w:rFonts w:eastAsia="仿宋" w:cs="Times New Roman"/>
                <w:kern w:val="0"/>
                <w:sz w:val="24"/>
                <w:szCs w:val="24"/>
              </w:rPr>
            </w:pPr>
            <w:r>
              <w:rPr>
                <w:rFonts w:eastAsia="仿宋" w:cs="Times New Roman"/>
                <w:kern w:val="0"/>
                <w:sz w:val="24"/>
                <w:szCs w:val="24"/>
              </w:rPr>
              <w:t>预算调整率≤5%，得2分；</w:t>
            </w:r>
            <w:r>
              <w:rPr>
                <w:rFonts w:eastAsia="仿宋" w:cs="Times New Roman"/>
                <w:kern w:val="0"/>
                <w:sz w:val="24"/>
                <w:szCs w:val="24"/>
              </w:rPr>
              <w:br w:type="textWrapping"/>
            </w:r>
            <w:r>
              <w:rPr>
                <w:rFonts w:eastAsia="仿宋" w:cs="Times New Roman"/>
                <w:kern w:val="0"/>
                <w:sz w:val="24"/>
                <w:szCs w:val="24"/>
              </w:rPr>
              <w:t>5%-10%（含），得1.5分；</w:t>
            </w:r>
            <w:r>
              <w:rPr>
                <w:rFonts w:eastAsia="仿宋" w:cs="Times New Roman"/>
                <w:kern w:val="0"/>
                <w:sz w:val="24"/>
                <w:szCs w:val="24"/>
              </w:rPr>
              <w:br w:type="textWrapping"/>
            </w:r>
            <w:r>
              <w:rPr>
                <w:rFonts w:eastAsia="仿宋" w:cs="Times New Roman"/>
                <w:kern w:val="0"/>
                <w:sz w:val="24"/>
                <w:szCs w:val="24"/>
              </w:rPr>
              <w:t>10%-15%（含），得1分；</w:t>
            </w:r>
            <w:r>
              <w:rPr>
                <w:rFonts w:eastAsia="仿宋" w:cs="Times New Roman"/>
                <w:kern w:val="0"/>
                <w:sz w:val="24"/>
                <w:szCs w:val="24"/>
              </w:rPr>
              <w:br w:type="textWrapping"/>
            </w:r>
            <w:r>
              <w:rPr>
                <w:rFonts w:eastAsia="仿宋" w:cs="Times New Roman"/>
                <w:kern w:val="0"/>
                <w:sz w:val="24"/>
                <w:szCs w:val="24"/>
              </w:rPr>
              <w:t>15%-20%（含），得0.5分；</w:t>
            </w:r>
            <w:r>
              <w:rPr>
                <w:rFonts w:eastAsia="仿宋" w:cs="Times New Roman"/>
                <w:kern w:val="0"/>
                <w:sz w:val="24"/>
                <w:szCs w:val="24"/>
              </w:rPr>
              <w:br w:type="textWrapping"/>
            </w:r>
            <w:r>
              <w:rPr>
                <w:rFonts w:eastAsia="仿宋" w:cs="Times New Roman"/>
                <w:kern w:val="0"/>
                <w:sz w:val="24"/>
                <w:szCs w:val="24"/>
              </w:rPr>
              <w:t>＞20%，得0分。</w:t>
            </w:r>
          </w:p>
        </w:tc>
        <w:tc>
          <w:tcPr>
            <w:tcW w:w="726" w:type="dxa"/>
            <w:tcBorders>
              <w:top w:val="single" w:color="auto" w:sz="4" w:space="0"/>
              <w:left w:val="nil"/>
              <w:bottom w:val="single" w:color="auto" w:sz="4" w:space="0"/>
              <w:right w:val="single" w:color="auto" w:sz="4" w:space="0"/>
            </w:tcBorders>
            <w:noWrap/>
            <w:vAlign w:val="center"/>
          </w:tcPr>
          <w:p w14:paraId="7BAEC7C0">
            <w:pPr>
              <w:widowControl/>
              <w:jc w:val="left"/>
              <w:rPr>
                <w:rFonts w:eastAsia="仿宋" w:cs="Times New Roman"/>
                <w:kern w:val="0"/>
                <w:sz w:val="24"/>
                <w:szCs w:val="24"/>
              </w:rPr>
            </w:pPr>
            <w:r>
              <w:rPr>
                <w:rFonts w:eastAsia="仿宋" w:cs="Times New Roman"/>
                <w:kern w:val="0"/>
                <w:sz w:val="24"/>
                <w:szCs w:val="24"/>
              </w:rPr>
              <w:t>　1</w:t>
            </w:r>
          </w:p>
        </w:tc>
      </w:tr>
      <w:tr w14:paraId="7ADFDB9F">
        <w:tblPrEx>
          <w:tblCellMar>
            <w:top w:w="0" w:type="dxa"/>
            <w:left w:w="108" w:type="dxa"/>
            <w:bottom w:w="0" w:type="dxa"/>
            <w:right w:w="108" w:type="dxa"/>
          </w:tblCellMar>
        </w:tblPrEx>
        <w:trPr>
          <w:wBefore w:w="0" w:type="auto"/>
          <w:wAfter w:w="0" w:type="auto"/>
          <w:trHeight w:val="41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14DF2461">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A132459">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4B677CF4">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45E81444">
            <w:pPr>
              <w:widowControl/>
              <w:spacing w:line="280" w:lineRule="exact"/>
              <w:jc w:val="left"/>
              <w:rPr>
                <w:rFonts w:eastAsia="仿宋" w:cs="Times New Roman"/>
                <w:kern w:val="0"/>
                <w:sz w:val="24"/>
                <w:szCs w:val="24"/>
              </w:rPr>
            </w:pPr>
            <w:r>
              <w:rPr>
                <w:rFonts w:eastAsia="仿宋" w:cs="Times New Roman"/>
                <w:kern w:val="0"/>
                <w:sz w:val="24"/>
                <w:szCs w:val="24"/>
              </w:rPr>
              <w:t>支付进度率</w:t>
            </w:r>
          </w:p>
        </w:tc>
        <w:tc>
          <w:tcPr>
            <w:tcW w:w="516" w:type="dxa"/>
            <w:tcBorders>
              <w:top w:val="single" w:color="auto" w:sz="4" w:space="0"/>
              <w:left w:val="nil"/>
              <w:bottom w:val="single" w:color="auto" w:sz="4" w:space="0"/>
              <w:right w:val="single" w:color="auto" w:sz="4" w:space="0"/>
            </w:tcBorders>
            <w:noWrap w:val="0"/>
            <w:vAlign w:val="center"/>
          </w:tcPr>
          <w:p w14:paraId="79C29B3C">
            <w:pPr>
              <w:widowControl/>
              <w:spacing w:line="280" w:lineRule="exact"/>
              <w:jc w:val="center"/>
              <w:rPr>
                <w:rFonts w:eastAsia="仿宋" w:cs="Times New Roman"/>
                <w:kern w:val="0"/>
                <w:sz w:val="24"/>
                <w:szCs w:val="24"/>
              </w:rPr>
            </w:pPr>
            <w:r>
              <w:rPr>
                <w:rFonts w:eastAsia="仿宋" w:cs="Times New Roman"/>
                <w:kern w:val="0"/>
                <w:sz w:val="24"/>
                <w:szCs w:val="24"/>
              </w:rPr>
              <w:t>2</w:t>
            </w:r>
          </w:p>
        </w:tc>
        <w:tc>
          <w:tcPr>
            <w:tcW w:w="3752" w:type="dxa"/>
            <w:tcBorders>
              <w:top w:val="single" w:color="auto" w:sz="4" w:space="0"/>
              <w:left w:val="nil"/>
              <w:bottom w:val="single" w:color="auto" w:sz="4" w:space="0"/>
              <w:right w:val="single" w:color="auto" w:sz="4" w:space="0"/>
            </w:tcBorders>
            <w:noWrap w:val="0"/>
            <w:vAlign w:val="center"/>
          </w:tcPr>
          <w:p w14:paraId="7DD7E169">
            <w:pPr>
              <w:widowControl/>
              <w:spacing w:line="280" w:lineRule="exact"/>
              <w:jc w:val="left"/>
              <w:rPr>
                <w:rFonts w:eastAsia="仿宋" w:cs="Times New Roman"/>
                <w:kern w:val="0"/>
                <w:sz w:val="24"/>
                <w:szCs w:val="24"/>
              </w:rPr>
            </w:pPr>
            <w:r>
              <w:rPr>
                <w:rFonts w:eastAsia="仿宋" w:cs="Times New Roman"/>
                <w:kern w:val="0"/>
                <w:sz w:val="24"/>
                <w:szCs w:val="24"/>
              </w:rPr>
              <w:t xml:space="preserve">  部门实际支付进度与既定支付进度的比率，用以反映和考核部门预算执行的及时性和均衡性程度。</w:t>
            </w:r>
            <w:r>
              <w:rPr>
                <w:rFonts w:eastAsia="仿宋" w:cs="Times New Roman"/>
                <w:kern w:val="0"/>
                <w:sz w:val="24"/>
                <w:szCs w:val="24"/>
              </w:rPr>
              <w:br w:type="textWrapping"/>
            </w:r>
            <w:r>
              <w:rPr>
                <w:rFonts w:eastAsia="仿宋" w:cs="Times New Roman"/>
                <w:kern w:val="0"/>
                <w:sz w:val="24"/>
                <w:szCs w:val="24"/>
              </w:rPr>
              <w:t xml:space="preserve">  支付进度率=（实际支付进度/既定支付进度）×100%。</w:t>
            </w:r>
            <w:r>
              <w:rPr>
                <w:rFonts w:eastAsia="仿宋" w:cs="Times New Roman"/>
                <w:kern w:val="0"/>
                <w:sz w:val="24"/>
                <w:szCs w:val="24"/>
              </w:rPr>
              <w:br w:type="textWrapping"/>
            </w:r>
            <w:r>
              <w:rPr>
                <w:rFonts w:eastAsia="仿宋" w:cs="Times New Roman"/>
                <w:kern w:val="0"/>
                <w:sz w:val="24"/>
                <w:szCs w:val="24"/>
              </w:rPr>
              <w:t xml:space="preserve">  实际支付进度：部门在某一时点的支出预算执行总数与年度支出预算数的比率。</w:t>
            </w:r>
            <w:r>
              <w:rPr>
                <w:rFonts w:eastAsia="仿宋" w:cs="Times New Roman"/>
                <w:kern w:val="0"/>
                <w:sz w:val="24"/>
                <w:szCs w:val="24"/>
              </w:rPr>
              <w:br w:type="textWrapping"/>
            </w:r>
            <w:r>
              <w:rPr>
                <w:rFonts w:eastAsia="仿宋" w:cs="Times New Roman"/>
                <w:kern w:val="0"/>
                <w:sz w:val="24"/>
                <w:szCs w:val="24"/>
              </w:rPr>
              <w:t xml:space="preserve">  既定支付进度：由部门在申报部门整体绩效目标时，参照序时支付进度、前三年支付进度、本级部门平均支付进度水平等确定的，在某一时点应达到的支付进度（比率）。</w:t>
            </w:r>
          </w:p>
        </w:tc>
        <w:tc>
          <w:tcPr>
            <w:tcW w:w="3036" w:type="dxa"/>
            <w:tcBorders>
              <w:top w:val="single" w:color="auto" w:sz="4" w:space="0"/>
              <w:left w:val="nil"/>
              <w:bottom w:val="single" w:color="auto" w:sz="4" w:space="0"/>
              <w:right w:val="single" w:color="auto" w:sz="4" w:space="0"/>
            </w:tcBorders>
            <w:noWrap w:val="0"/>
            <w:vAlign w:val="center"/>
          </w:tcPr>
          <w:p w14:paraId="26FF2B5E">
            <w:pPr>
              <w:widowControl/>
              <w:spacing w:line="280" w:lineRule="exact"/>
              <w:jc w:val="left"/>
              <w:rPr>
                <w:rFonts w:eastAsia="仿宋" w:cs="Times New Roman"/>
                <w:kern w:val="0"/>
                <w:sz w:val="24"/>
                <w:szCs w:val="24"/>
              </w:rPr>
            </w:pPr>
            <w:r>
              <w:rPr>
                <w:rFonts w:eastAsia="仿宋" w:cs="Times New Roman"/>
                <w:kern w:val="0"/>
                <w:sz w:val="24"/>
                <w:szCs w:val="24"/>
              </w:rPr>
              <w:t>支付进度率=100%，得2分；</w:t>
            </w:r>
            <w:r>
              <w:rPr>
                <w:rFonts w:eastAsia="仿宋" w:cs="Times New Roman"/>
                <w:kern w:val="0"/>
                <w:sz w:val="24"/>
                <w:szCs w:val="24"/>
              </w:rPr>
              <w:br w:type="textWrapping"/>
            </w:r>
            <w:r>
              <w:rPr>
                <w:rFonts w:eastAsia="仿宋" w:cs="Times New Roman"/>
                <w:kern w:val="0"/>
                <w:sz w:val="24"/>
                <w:szCs w:val="24"/>
              </w:rPr>
              <w:t>每超过（降低）5%，扣0.5分，扣完为止。</w:t>
            </w:r>
          </w:p>
        </w:tc>
        <w:tc>
          <w:tcPr>
            <w:tcW w:w="726" w:type="dxa"/>
            <w:tcBorders>
              <w:top w:val="single" w:color="auto" w:sz="4" w:space="0"/>
              <w:left w:val="nil"/>
              <w:bottom w:val="single" w:color="auto" w:sz="4" w:space="0"/>
              <w:right w:val="single" w:color="auto" w:sz="4" w:space="0"/>
            </w:tcBorders>
            <w:noWrap/>
            <w:vAlign w:val="center"/>
          </w:tcPr>
          <w:p w14:paraId="31D60624">
            <w:pPr>
              <w:widowControl/>
              <w:jc w:val="left"/>
              <w:rPr>
                <w:rFonts w:eastAsia="仿宋" w:cs="Times New Roman"/>
                <w:kern w:val="0"/>
                <w:sz w:val="24"/>
                <w:szCs w:val="24"/>
              </w:rPr>
            </w:pPr>
            <w:r>
              <w:rPr>
                <w:rFonts w:eastAsia="仿宋" w:cs="Times New Roman"/>
                <w:kern w:val="0"/>
                <w:sz w:val="24"/>
                <w:szCs w:val="24"/>
              </w:rPr>
              <w:t>　1</w:t>
            </w:r>
          </w:p>
        </w:tc>
      </w:tr>
      <w:tr w14:paraId="36095E9B">
        <w:tblPrEx>
          <w:tblCellMar>
            <w:top w:w="0" w:type="dxa"/>
            <w:left w:w="108" w:type="dxa"/>
            <w:bottom w:w="0" w:type="dxa"/>
            <w:right w:w="108" w:type="dxa"/>
          </w:tblCellMar>
        </w:tblPrEx>
        <w:trPr>
          <w:wBefore w:w="0" w:type="auto"/>
          <w:wAfter w:w="0" w:type="auto"/>
          <w:trHeight w:val="310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08E433C0">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451FB0A">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9920D83">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775EDF46">
            <w:pPr>
              <w:widowControl/>
              <w:spacing w:line="280" w:lineRule="exact"/>
              <w:jc w:val="left"/>
              <w:rPr>
                <w:rFonts w:eastAsia="仿宋" w:cs="Times New Roman"/>
                <w:kern w:val="0"/>
                <w:sz w:val="24"/>
                <w:szCs w:val="24"/>
              </w:rPr>
            </w:pPr>
            <w:r>
              <w:rPr>
                <w:rFonts w:eastAsia="仿宋" w:cs="Times New Roman"/>
                <w:kern w:val="0"/>
                <w:sz w:val="24"/>
                <w:szCs w:val="24"/>
              </w:rPr>
              <w:t>结转结余变动率</w:t>
            </w:r>
          </w:p>
        </w:tc>
        <w:tc>
          <w:tcPr>
            <w:tcW w:w="516" w:type="dxa"/>
            <w:tcBorders>
              <w:top w:val="single" w:color="auto" w:sz="4" w:space="0"/>
              <w:left w:val="nil"/>
              <w:bottom w:val="single" w:color="auto" w:sz="4" w:space="0"/>
              <w:right w:val="single" w:color="auto" w:sz="4" w:space="0"/>
            </w:tcBorders>
            <w:noWrap w:val="0"/>
            <w:vAlign w:val="center"/>
          </w:tcPr>
          <w:p w14:paraId="1F37209C">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66E32BD1">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部门本年度结转结余资金总额与上年度结转结余资金总额的变动比率，用以反映和考核部门对控制结转结余资金的努力程度。</w:t>
            </w:r>
            <w:r>
              <w:rPr>
                <w:rFonts w:eastAsia="仿宋" w:cs="Times New Roman"/>
                <w:kern w:val="0"/>
                <w:sz w:val="24"/>
                <w:szCs w:val="24"/>
              </w:rPr>
              <w:br w:type="textWrapping"/>
            </w:r>
            <w:r>
              <w:rPr>
                <w:rFonts w:eastAsia="仿宋" w:cs="Times New Roman"/>
                <w:kern w:val="0"/>
                <w:sz w:val="24"/>
                <w:szCs w:val="24"/>
              </w:rPr>
              <w:t xml:space="preserve">  结转结余变动率=[（本年度累计结转结余资金总额-上年度累计结转结余资金总额）/上年度累计结转结余资金总额]×100%。</w:t>
            </w:r>
          </w:p>
        </w:tc>
        <w:tc>
          <w:tcPr>
            <w:tcW w:w="3036" w:type="dxa"/>
            <w:tcBorders>
              <w:top w:val="single" w:color="auto" w:sz="4" w:space="0"/>
              <w:left w:val="nil"/>
              <w:bottom w:val="single" w:color="auto" w:sz="4" w:space="0"/>
              <w:right w:val="single" w:color="auto" w:sz="4" w:space="0"/>
            </w:tcBorders>
            <w:noWrap w:val="0"/>
            <w:vAlign w:val="center"/>
          </w:tcPr>
          <w:p w14:paraId="5F496985">
            <w:pPr>
              <w:widowControl/>
              <w:spacing w:line="280" w:lineRule="exact"/>
              <w:jc w:val="left"/>
              <w:rPr>
                <w:rFonts w:eastAsia="仿宋" w:cs="Times New Roman"/>
                <w:kern w:val="0"/>
                <w:sz w:val="24"/>
                <w:szCs w:val="24"/>
              </w:rPr>
            </w:pPr>
            <w:r>
              <w:rPr>
                <w:rFonts w:eastAsia="仿宋" w:cs="Times New Roman"/>
                <w:kern w:val="0"/>
                <w:sz w:val="24"/>
                <w:szCs w:val="24"/>
              </w:rPr>
              <w:t>结转结余变动率≤0，得1分；</w:t>
            </w:r>
            <w:r>
              <w:rPr>
                <w:rFonts w:eastAsia="仿宋" w:cs="Times New Roman"/>
                <w:kern w:val="0"/>
                <w:sz w:val="24"/>
                <w:szCs w:val="24"/>
              </w:rPr>
              <w:br w:type="textWrapping"/>
            </w:r>
            <w:r>
              <w:rPr>
                <w:rFonts w:eastAsia="仿宋" w:cs="Times New Roman"/>
                <w:kern w:val="0"/>
                <w:sz w:val="24"/>
                <w:szCs w:val="24"/>
              </w:rPr>
              <w:t>每超过5%，扣0.5分，扣完为止。</w:t>
            </w:r>
          </w:p>
        </w:tc>
        <w:tc>
          <w:tcPr>
            <w:tcW w:w="726" w:type="dxa"/>
            <w:tcBorders>
              <w:top w:val="single" w:color="auto" w:sz="4" w:space="0"/>
              <w:left w:val="nil"/>
              <w:bottom w:val="single" w:color="auto" w:sz="4" w:space="0"/>
              <w:right w:val="single" w:color="auto" w:sz="4" w:space="0"/>
            </w:tcBorders>
            <w:noWrap/>
            <w:vAlign w:val="center"/>
          </w:tcPr>
          <w:p w14:paraId="35891113">
            <w:pPr>
              <w:widowControl/>
              <w:jc w:val="left"/>
              <w:rPr>
                <w:rFonts w:eastAsia="仿宋" w:cs="Times New Roman"/>
                <w:kern w:val="0"/>
                <w:sz w:val="24"/>
                <w:szCs w:val="24"/>
              </w:rPr>
            </w:pPr>
            <w:r>
              <w:rPr>
                <w:rFonts w:eastAsia="仿宋" w:cs="Times New Roman"/>
                <w:kern w:val="0"/>
                <w:sz w:val="24"/>
                <w:szCs w:val="24"/>
              </w:rPr>
              <w:t>　1</w:t>
            </w:r>
          </w:p>
        </w:tc>
      </w:tr>
      <w:tr w14:paraId="7A17DBD2">
        <w:tblPrEx>
          <w:tblCellMar>
            <w:top w:w="0" w:type="dxa"/>
            <w:left w:w="108" w:type="dxa"/>
            <w:bottom w:w="0" w:type="dxa"/>
            <w:right w:w="108" w:type="dxa"/>
          </w:tblCellMar>
        </w:tblPrEx>
        <w:trPr>
          <w:wBefore w:w="0" w:type="auto"/>
          <w:wAfter w:w="0" w:type="auto"/>
          <w:trHeight w:val="26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A27E45C">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34AC4E3">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5B4EDBAD">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76C15335">
            <w:pPr>
              <w:widowControl/>
              <w:spacing w:line="280" w:lineRule="exact"/>
              <w:jc w:val="left"/>
              <w:rPr>
                <w:rFonts w:eastAsia="仿宋" w:cs="Times New Roman"/>
                <w:kern w:val="0"/>
                <w:sz w:val="24"/>
                <w:szCs w:val="24"/>
              </w:rPr>
            </w:pPr>
            <w:r>
              <w:rPr>
                <w:rFonts w:eastAsia="仿宋" w:cs="Times New Roman"/>
                <w:kern w:val="0"/>
                <w:sz w:val="24"/>
                <w:szCs w:val="24"/>
              </w:rPr>
              <w:t>公用经费控制率</w:t>
            </w:r>
          </w:p>
        </w:tc>
        <w:tc>
          <w:tcPr>
            <w:tcW w:w="516" w:type="dxa"/>
            <w:tcBorders>
              <w:top w:val="single" w:color="auto" w:sz="4" w:space="0"/>
              <w:left w:val="nil"/>
              <w:bottom w:val="single" w:color="auto" w:sz="4" w:space="0"/>
              <w:right w:val="single" w:color="auto" w:sz="4" w:space="0"/>
            </w:tcBorders>
            <w:noWrap w:val="0"/>
            <w:vAlign w:val="center"/>
          </w:tcPr>
          <w:p w14:paraId="39F78591">
            <w:pPr>
              <w:widowControl/>
              <w:spacing w:line="280" w:lineRule="exact"/>
              <w:jc w:val="center"/>
              <w:rPr>
                <w:rFonts w:eastAsia="仿宋" w:cs="Times New Roman"/>
                <w:kern w:val="0"/>
                <w:sz w:val="24"/>
                <w:szCs w:val="24"/>
              </w:rPr>
            </w:pPr>
            <w:r>
              <w:rPr>
                <w:rFonts w:eastAsia="仿宋" w:cs="Times New Roman"/>
                <w:kern w:val="0"/>
                <w:sz w:val="24"/>
                <w:szCs w:val="24"/>
              </w:rPr>
              <w:t>2</w:t>
            </w:r>
          </w:p>
        </w:tc>
        <w:tc>
          <w:tcPr>
            <w:tcW w:w="3752" w:type="dxa"/>
            <w:tcBorders>
              <w:top w:val="single" w:color="auto" w:sz="4" w:space="0"/>
              <w:left w:val="nil"/>
              <w:bottom w:val="single" w:color="auto" w:sz="4" w:space="0"/>
              <w:right w:val="single" w:color="auto" w:sz="4" w:space="0"/>
            </w:tcBorders>
            <w:noWrap w:val="0"/>
            <w:vAlign w:val="center"/>
          </w:tcPr>
          <w:p w14:paraId="3D543C7A">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部门本年度实际支出的公用经费总额与预算安排的公用经费总额的比率，用以反映和考核部门对机构运转成本的实际控制程度。</w:t>
            </w:r>
            <w:r>
              <w:rPr>
                <w:rFonts w:eastAsia="仿宋" w:cs="Times New Roman"/>
                <w:kern w:val="0"/>
                <w:sz w:val="24"/>
                <w:szCs w:val="24"/>
              </w:rPr>
              <w:br w:type="textWrapping"/>
            </w:r>
            <w:r>
              <w:rPr>
                <w:rFonts w:eastAsia="仿宋" w:cs="Times New Roman"/>
                <w:kern w:val="0"/>
                <w:sz w:val="24"/>
                <w:szCs w:val="24"/>
              </w:rPr>
              <w:t xml:space="preserve">  公用经费控制率=（实际支出公用经费总额/预算安排公用经费总额）×100%。</w:t>
            </w:r>
          </w:p>
        </w:tc>
        <w:tc>
          <w:tcPr>
            <w:tcW w:w="3036" w:type="dxa"/>
            <w:tcBorders>
              <w:top w:val="single" w:color="auto" w:sz="4" w:space="0"/>
              <w:left w:val="nil"/>
              <w:bottom w:val="single" w:color="auto" w:sz="4" w:space="0"/>
              <w:right w:val="single" w:color="auto" w:sz="4" w:space="0"/>
            </w:tcBorders>
            <w:noWrap w:val="0"/>
            <w:vAlign w:val="center"/>
          </w:tcPr>
          <w:p w14:paraId="25946B48">
            <w:pPr>
              <w:widowControl/>
              <w:spacing w:line="280" w:lineRule="exact"/>
              <w:jc w:val="left"/>
              <w:rPr>
                <w:rFonts w:eastAsia="仿宋" w:cs="Times New Roman"/>
                <w:kern w:val="0"/>
                <w:sz w:val="24"/>
                <w:szCs w:val="24"/>
              </w:rPr>
            </w:pPr>
            <w:r>
              <w:rPr>
                <w:rFonts w:eastAsia="仿宋" w:cs="Times New Roman"/>
                <w:kern w:val="0"/>
                <w:sz w:val="24"/>
                <w:szCs w:val="24"/>
              </w:rPr>
              <w:t>公用经费控制率≤100%，得2分；</w:t>
            </w:r>
            <w:r>
              <w:rPr>
                <w:rFonts w:eastAsia="仿宋" w:cs="Times New Roman"/>
                <w:kern w:val="0"/>
                <w:sz w:val="24"/>
                <w:szCs w:val="24"/>
              </w:rPr>
              <w:br w:type="textWrapping"/>
            </w:r>
            <w:r>
              <w:rPr>
                <w:rFonts w:eastAsia="仿宋" w:cs="Times New Roman"/>
                <w:kern w:val="0"/>
                <w:sz w:val="24"/>
                <w:szCs w:val="24"/>
              </w:rPr>
              <w:t>每超过5%，扣1分，扣完为止。</w:t>
            </w:r>
          </w:p>
        </w:tc>
        <w:tc>
          <w:tcPr>
            <w:tcW w:w="726" w:type="dxa"/>
            <w:tcBorders>
              <w:top w:val="single" w:color="auto" w:sz="4" w:space="0"/>
              <w:left w:val="nil"/>
              <w:bottom w:val="single" w:color="auto" w:sz="4" w:space="0"/>
              <w:right w:val="single" w:color="auto" w:sz="4" w:space="0"/>
            </w:tcBorders>
            <w:noWrap/>
            <w:vAlign w:val="center"/>
          </w:tcPr>
          <w:p w14:paraId="25128A4A">
            <w:pPr>
              <w:widowControl/>
              <w:jc w:val="left"/>
              <w:rPr>
                <w:rFonts w:eastAsia="仿宋" w:cs="Times New Roman"/>
                <w:kern w:val="0"/>
                <w:sz w:val="24"/>
                <w:szCs w:val="24"/>
              </w:rPr>
            </w:pPr>
            <w:r>
              <w:rPr>
                <w:rFonts w:eastAsia="仿宋" w:cs="Times New Roman"/>
                <w:kern w:val="0"/>
                <w:sz w:val="24"/>
                <w:szCs w:val="24"/>
              </w:rPr>
              <w:t>　2</w:t>
            </w:r>
          </w:p>
        </w:tc>
      </w:tr>
      <w:tr w14:paraId="002A5778">
        <w:tblPrEx>
          <w:tblCellMar>
            <w:top w:w="0" w:type="dxa"/>
            <w:left w:w="108" w:type="dxa"/>
            <w:bottom w:w="0" w:type="dxa"/>
            <w:right w:w="108" w:type="dxa"/>
          </w:tblCellMar>
        </w:tblPrEx>
        <w:trPr>
          <w:wBefore w:w="0" w:type="auto"/>
          <w:wAfter w:w="0" w:type="auto"/>
          <w:trHeight w:val="254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E7EAD9A">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AD4A837">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5D672F2">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25F0ECC0">
            <w:pPr>
              <w:widowControl/>
              <w:spacing w:line="280" w:lineRule="exact"/>
              <w:jc w:val="left"/>
              <w:rPr>
                <w:rFonts w:eastAsia="仿宋" w:cs="Times New Roman"/>
                <w:kern w:val="0"/>
                <w:sz w:val="24"/>
                <w:szCs w:val="24"/>
              </w:rPr>
            </w:pPr>
            <w:r>
              <w:rPr>
                <w:rFonts w:eastAsia="仿宋" w:cs="Times New Roman"/>
                <w:kern w:val="0"/>
                <w:sz w:val="24"/>
                <w:szCs w:val="24"/>
              </w:rPr>
              <w:t>“三公经费”控制率</w:t>
            </w:r>
          </w:p>
        </w:tc>
        <w:tc>
          <w:tcPr>
            <w:tcW w:w="516" w:type="dxa"/>
            <w:tcBorders>
              <w:top w:val="single" w:color="auto" w:sz="4" w:space="0"/>
              <w:left w:val="nil"/>
              <w:bottom w:val="single" w:color="auto" w:sz="4" w:space="0"/>
              <w:right w:val="single" w:color="auto" w:sz="4" w:space="0"/>
            </w:tcBorders>
            <w:noWrap w:val="0"/>
            <w:vAlign w:val="center"/>
          </w:tcPr>
          <w:p w14:paraId="465D9A54">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28028E75">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部门本年度“三公经费”实际支出数与预算安排数的比率，用以反映和考核部门对“三公经费”的实际控制程度。</w:t>
            </w:r>
            <w:r>
              <w:rPr>
                <w:rFonts w:eastAsia="仿宋" w:cs="Times New Roman"/>
                <w:kern w:val="0"/>
                <w:sz w:val="24"/>
                <w:szCs w:val="24"/>
              </w:rPr>
              <w:br w:type="textWrapping"/>
            </w:r>
            <w:r>
              <w:rPr>
                <w:rFonts w:eastAsia="仿宋" w:cs="Times New Roman"/>
                <w:kern w:val="0"/>
                <w:sz w:val="24"/>
                <w:szCs w:val="24"/>
              </w:rPr>
              <w:t xml:space="preserve">  “三公经费”控制率=（“三公经费”实际支出数/“三公经费”预算安排数）×100%。</w:t>
            </w:r>
          </w:p>
        </w:tc>
        <w:tc>
          <w:tcPr>
            <w:tcW w:w="3036" w:type="dxa"/>
            <w:tcBorders>
              <w:top w:val="single" w:color="auto" w:sz="4" w:space="0"/>
              <w:left w:val="nil"/>
              <w:bottom w:val="single" w:color="auto" w:sz="4" w:space="0"/>
              <w:right w:val="single" w:color="auto" w:sz="4" w:space="0"/>
            </w:tcBorders>
            <w:noWrap w:val="0"/>
            <w:vAlign w:val="center"/>
          </w:tcPr>
          <w:p w14:paraId="70F2ACBD">
            <w:pPr>
              <w:widowControl/>
              <w:spacing w:line="280" w:lineRule="exact"/>
              <w:jc w:val="left"/>
              <w:rPr>
                <w:rFonts w:eastAsia="仿宋" w:cs="Times New Roman"/>
                <w:kern w:val="0"/>
                <w:sz w:val="24"/>
                <w:szCs w:val="24"/>
              </w:rPr>
            </w:pPr>
            <w:r>
              <w:rPr>
                <w:rFonts w:eastAsia="仿宋" w:cs="Times New Roman"/>
                <w:kern w:val="0"/>
                <w:sz w:val="24"/>
                <w:szCs w:val="24"/>
              </w:rPr>
              <w:t>“三公经费”控制率≤100%，得1分；</w:t>
            </w:r>
            <w:r>
              <w:rPr>
                <w:rFonts w:eastAsia="仿宋" w:cs="Times New Roman"/>
                <w:kern w:val="0"/>
                <w:sz w:val="24"/>
                <w:szCs w:val="24"/>
              </w:rPr>
              <w:br w:type="textWrapping"/>
            </w:r>
            <w:r>
              <w:rPr>
                <w:rFonts w:eastAsia="仿宋" w:cs="Times New Roman"/>
                <w:kern w:val="0"/>
                <w:sz w:val="24"/>
                <w:szCs w:val="24"/>
              </w:rPr>
              <w:t>每超过5%，扣0.5分，扣完为止。</w:t>
            </w:r>
          </w:p>
        </w:tc>
        <w:tc>
          <w:tcPr>
            <w:tcW w:w="726" w:type="dxa"/>
            <w:tcBorders>
              <w:top w:val="single" w:color="auto" w:sz="4" w:space="0"/>
              <w:left w:val="nil"/>
              <w:bottom w:val="single" w:color="auto" w:sz="4" w:space="0"/>
              <w:right w:val="single" w:color="auto" w:sz="4" w:space="0"/>
            </w:tcBorders>
            <w:noWrap/>
            <w:vAlign w:val="center"/>
          </w:tcPr>
          <w:p w14:paraId="2A4A5178">
            <w:pPr>
              <w:widowControl/>
              <w:jc w:val="left"/>
              <w:rPr>
                <w:rFonts w:eastAsia="仿宋" w:cs="Times New Roman"/>
                <w:kern w:val="0"/>
                <w:sz w:val="24"/>
                <w:szCs w:val="24"/>
              </w:rPr>
            </w:pPr>
            <w:r>
              <w:rPr>
                <w:rFonts w:eastAsia="仿宋" w:cs="Times New Roman"/>
                <w:kern w:val="0"/>
                <w:sz w:val="24"/>
                <w:szCs w:val="24"/>
              </w:rPr>
              <w:t>　1</w:t>
            </w:r>
          </w:p>
        </w:tc>
      </w:tr>
      <w:tr w14:paraId="0238BC76">
        <w:tblPrEx>
          <w:tblCellMar>
            <w:top w:w="0" w:type="dxa"/>
            <w:left w:w="108" w:type="dxa"/>
            <w:bottom w:w="0" w:type="dxa"/>
            <w:right w:w="108" w:type="dxa"/>
          </w:tblCellMar>
        </w:tblPrEx>
        <w:trPr>
          <w:wBefore w:w="0" w:type="auto"/>
          <w:wAfter w:w="0" w:type="auto"/>
          <w:trHeight w:val="254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4DB99968">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C71D96D">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1909A025">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150FA135">
            <w:pPr>
              <w:widowControl/>
              <w:spacing w:line="280" w:lineRule="exact"/>
              <w:jc w:val="left"/>
              <w:rPr>
                <w:rFonts w:eastAsia="仿宋" w:cs="Times New Roman"/>
                <w:kern w:val="0"/>
                <w:sz w:val="24"/>
                <w:szCs w:val="24"/>
              </w:rPr>
            </w:pPr>
            <w:r>
              <w:rPr>
                <w:rFonts w:eastAsia="仿宋" w:cs="Times New Roman"/>
                <w:kern w:val="0"/>
                <w:sz w:val="24"/>
                <w:szCs w:val="24"/>
              </w:rPr>
              <w:t>政府采购执行率</w:t>
            </w:r>
          </w:p>
        </w:tc>
        <w:tc>
          <w:tcPr>
            <w:tcW w:w="516" w:type="dxa"/>
            <w:tcBorders>
              <w:top w:val="single" w:color="auto" w:sz="4" w:space="0"/>
              <w:left w:val="nil"/>
              <w:bottom w:val="single" w:color="auto" w:sz="4" w:space="0"/>
              <w:right w:val="single" w:color="auto" w:sz="4" w:space="0"/>
            </w:tcBorders>
            <w:noWrap w:val="0"/>
            <w:vAlign w:val="center"/>
          </w:tcPr>
          <w:p w14:paraId="5D72588C">
            <w:pPr>
              <w:widowControl/>
              <w:spacing w:line="280" w:lineRule="exact"/>
              <w:jc w:val="center"/>
              <w:rPr>
                <w:rFonts w:eastAsia="仿宋" w:cs="Times New Roman"/>
                <w:kern w:val="0"/>
                <w:sz w:val="24"/>
                <w:szCs w:val="24"/>
              </w:rPr>
            </w:pPr>
            <w:r>
              <w:rPr>
                <w:rFonts w:eastAsia="仿宋" w:cs="Times New Roman"/>
                <w:kern w:val="0"/>
                <w:sz w:val="24"/>
                <w:szCs w:val="24"/>
              </w:rPr>
              <w:t>2</w:t>
            </w:r>
          </w:p>
        </w:tc>
        <w:tc>
          <w:tcPr>
            <w:tcW w:w="3752" w:type="dxa"/>
            <w:tcBorders>
              <w:top w:val="single" w:color="auto" w:sz="4" w:space="0"/>
              <w:left w:val="nil"/>
              <w:bottom w:val="single" w:color="auto" w:sz="4" w:space="0"/>
              <w:right w:val="single" w:color="auto" w:sz="4" w:space="0"/>
            </w:tcBorders>
            <w:noWrap w:val="0"/>
            <w:vAlign w:val="center"/>
          </w:tcPr>
          <w:p w14:paraId="76F8F4C6">
            <w:pPr>
              <w:widowControl/>
              <w:spacing w:line="280" w:lineRule="exact"/>
              <w:jc w:val="left"/>
              <w:rPr>
                <w:rFonts w:eastAsia="仿宋" w:cs="Times New Roman"/>
                <w:kern w:val="0"/>
                <w:sz w:val="24"/>
                <w:szCs w:val="24"/>
              </w:rPr>
            </w:pPr>
            <w:r>
              <w:rPr>
                <w:rFonts w:eastAsia="仿宋" w:cs="Times New Roman"/>
                <w:kern w:val="0"/>
                <w:sz w:val="24"/>
                <w:szCs w:val="24"/>
              </w:rPr>
              <w:t xml:space="preserve">  部门本年度实际政府采购金额与年初政府采购预算的比率，用以反映和考核部门政府采购预算执行情况。</w:t>
            </w:r>
            <w:r>
              <w:rPr>
                <w:rFonts w:eastAsia="仿宋" w:cs="Times New Roman"/>
                <w:kern w:val="0"/>
                <w:sz w:val="24"/>
                <w:szCs w:val="24"/>
              </w:rPr>
              <w:br w:type="textWrapping"/>
            </w:r>
            <w:r>
              <w:rPr>
                <w:rFonts w:eastAsia="仿宋" w:cs="Times New Roman"/>
                <w:kern w:val="0"/>
                <w:sz w:val="24"/>
                <w:szCs w:val="24"/>
              </w:rPr>
              <w:t xml:space="preserve">  政府采购执行率=（实际政府采购金额/政府采购预算数）×100%；</w:t>
            </w:r>
            <w:r>
              <w:rPr>
                <w:rFonts w:eastAsia="仿宋" w:cs="Times New Roman"/>
                <w:kern w:val="0"/>
                <w:sz w:val="24"/>
                <w:szCs w:val="24"/>
              </w:rPr>
              <w:br w:type="textWrapping"/>
            </w:r>
            <w:r>
              <w:rPr>
                <w:rFonts w:eastAsia="仿宋" w:cs="Times New Roman"/>
                <w:kern w:val="0"/>
                <w:sz w:val="24"/>
                <w:szCs w:val="24"/>
              </w:rPr>
              <w:t xml:space="preserve">  政府采购预算：采购机关根据事业发展计划和行政任务编制的、并经过规定程序批准的年度政府采购计划。 </w:t>
            </w:r>
          </w:p>
        </w:tc>
        <w:tc>
          <w:tcPr>
            <w:tcW w:w="3036" w:type="dxa"/>
            <w:tcBorders>
              <w:top w:val="single" w:color="auto" w:sz="4" w:space="0"/>
              <w:left w:val="nil"/>
              <w:bottom w:val="single" w:color="auto" w:sz="4" w:space="0"/>
              <w:right w:val="single" w:color="auto" w:sz="4" w:space="0"/>
            </w:tcBorders>
            <w:noWrap w:val="0"/>
            <w:vAlign w:val="center"/>
          </w:tcPr>
          <w:p w14:paraId="59A27ADE">
            <w:pPr>
              <w:widowControl/>
              <w:spacing w:line="280" w:lineRule="exact"/>
              <w:jc w:val="left"/>
              <w:rPr>
                <w:rFonts w:eastAsia="仿宋" w:cs="Times New Roman"/>
                <w:kern w:val="0"/>
                <w:sz w:val="24"/>
                <w:szCs w:val="24"/>
              </w:rPr>
            </w:pPr>
            <w:r>
              <w:rPr>
                <w:rFonts w:eastAsia="仿宋" w:cs="Times New Roman"/>
                <w:kern w:val="0"/>
                <w:sz w:val="24"/>
                <w:szCs w:val="24"/>
              </w:rPr>
              <w:t>政府采购执行率=100%，得2分；</w:t>
            </w:r>
            <w:r>
              <w:rPr>
                <w:rFonts w:eastAsia="仿宋" w:cs="Times New Roman"/>
                <w:kern w:val="0"/>
                <w:sz w:val="24"/>
                <w:szCs w:val="24"/>
              </w:rPr>
              <w:br w:type="textWrapping"/>
            </w:r>
            <w:r>
              <w:rPr>
                <w:rFonts w:eastAsia="仿宋" w:cs="Times New Roman"/>
                <w:kern w:val="0"/>
                <w:sz w:val="24"/>
                <w:szCs w:val="24"/>
              </w:rPr>
              <w:t>每超过（降低）5%，扣1分，扣完为止。</w:t>
            </w:r>
          </w:p>
        </w:tc>
        <w:tc>
          <w:tcPr>
            <w:tcW w:w="726" w:type="dxa"/>
            <w:tcBorders>
              <w:top w:val="single" w:color="auto" w:sz="4" w:space="0"/>
              <w:left w:val="nil"/>
              <w:bottom w:val="single" w:color="auto" w:sz="4" w:space="0"/>
              <w:right w:val="single" w:color="auto" w:sz="4" w:space="0"/>
            </w:tcBorders>
            <w:noWrap/>
            <w:vAlign w:val="center"/>
          </w:tcPr>
          <w:p w14:paraId="7462EB9B">
            <w:pPr>
              <w:widowControl/>
              <w:jc w:val="left"/>
              <w:rPr>
                <w:rFonts w:eastAsia="仿宋" w:cs="Times New Roman"/>
                <w:kern w:val="0"/>
                <w:sz w:val="24"/>
                <w:szCs w:val="24"/>
              </w:rPr>
            </w:pPr>
            <w:r>
              <w:rPr>
                <w:rFonts w:eastAsia="仿宋" w:cs="Times New Roman"/>
                <w:kern w:val="0"/>
                <w:sz w:val="24"/>
                <w:szCs w:val="24"/>
              </w:rPr>
              <w:t>　2</w:t>
            </w:r>
          </w:p>
        </w:tc>
      </w:tr>
      <w:tr w14:paraId="326934BA">
        <w:tblPrEx>
          <w:tblCellMar>
            <w:top w:w="0" w:type="dxa"/>
            <w:left w:w="108" w:type="dxa"/>
            <w:bottom w:w="0" w:type="dxa"/>
            <w:right w:w="108" w:type="dxa"/>
          </w:tblCellMar>
        </w:tblPrEx>
        <w:trPr>
          <w:wBefore w:w="0" w:type="auto"/>
          <w:wAfter w:w="0" w:type="auto"/>
          <w:trHeight w:val="3275"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471C0417">
            <w:pPr>
              <w:widowControl/>
              <w:spacing w:line="280" w:lineRule="exact"/>
              <w:jc w:val="center"/>
              <w:rPr>
                <w:rFonts w:eastAsia="仿宋" w:cs="Times New Roman"/>
                <w:kern w:val="0"/>
                <w:sz w:val="24"/>
                <w:szCs w:val="24"/>
              </w:rPr>
            </w:pPr>
            <w:r>
              <w:rPr>
                <w:rFonts w:eastAsia="仿宋" w:cs="Times New Roman"/>
                <w:kern w:val="0"/>
                <w:sz w:val="24"/>
                <w:szCs w:val="24"/>
              </w:rPr>
              <w:t>过程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11CAD389">
            <w:pPr>
              <w:widowControl/>
              <w:spacing w:line="280" w:lineRule="exact"/>
              <w:jc w:val="center"/>
              <w:rPr>
                <w:rFonts w:eastAsia="仿宋" w:cs="Times New Roman"/>
                <w:kern w:val="0"/>
                <w:sz w:val="24"/>
                <w:szCs w:val="24"/>
              </w:rPr>
            </w:pPr>
            <w:r>
              <w:rPr>
                <w:rFonts w:eastAsia="仿宋" w:cs="Times New Roman"/>
                <w:kern w:val="0"/>
                <w:sz w:val="24"/>
                <w:szCs w:val="24"/>
              </w:rPr>
              <w:t>预算</w:t>
            </w:r>
            <w:r>
              <w:rPr>
                <w:rFonts w:eastAsia="仿宋" w:cs="Times New Roman"/>
                <w:kern w:val="0"/>
                <w:sz w:val="24"/>
                <w:szCs w:val="24"/>
              </w:rPr>
              <w:br w:type="textWrapping"/>
            </w:r>
            <w:r>
              <w:rPr>
                <w:rFonts w:eastAsia="仿宋" w:cs="Times New Roman"/>
                <w:kern w:val="0"/>
                <w:sz w:val="24"/>
                <w:szCs w:val="24"/>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540FDE87">
            <w:pPr>
              <w:widowControl/>
              <w:spacing w:line="280" w:lineRule="exact"/>
              <w:jc w:val="center"/>
              <w:rPr>
                <w:rFonts w:eastAsia="仿宋" w:cs="Times New Roman"/>
                <w:kern w:val="0"/>
                <w:sz w:val="24"/>
                <w:szCs w:val="24"/>
              </w:rPr>
            </w:pPr>
            <w:r>
              <w:rPr>
                <w:rFonts w:eastAsia="仿宋" w:cs="Times New Roman"/>
                <w:kern w:val="0"/>
                <w:sz w:val="24"/>
                <w:szCs w:val="24"/>
              </w:rPr>
              <w:t>9</w:t>
            </w:r>
          </w:p>
        </w:tc>
        <w:tc>
          <w:tcPr>
            <w:tcW w:w="676" w:type="dxa"/>
            <w:tcBorders>
              <w:top w:val="single" w:color="auto" w:sz="4" w:space="0"/>
              <w:left w:val="nil"/>
              <w:bottom w:val="single" w:color="auto" w:sz="4" w:space="0"/>
              <w:right w:val="single" w:color="auto" w:sz="4" w:space="0"/>
            </w:tcBorders>
            <w:noWrap w:val="0"/>
            <w:vAlign w:val="center"/>
          </w:tcPr>
          <w:p w14:paraId="6F6F75A8">
            <w:pPr>
              <w:widowControl/>
              <w:spacing w:line="280" w:lineRule="exact"/>
              <w:jc w:val="left"/>
              <w:rPr>
                <w:rFonts w:eastAsia="仿宋" w:cs="Times New Roman"/>
                <w:kern w:val="0"/>
                <w:sz w:val="24"/>
                <w:szCs w:val="24"/>
              </w:rPr>
            </w:pPr>
            <w:r>
              <w:rPr>
                <w:rFonts w:eastAsia="仿宋" w:cs="Times New Roman"/>
                <w:kern w:val="0"/>
                <w:sz w:val="24"/>
                <w:szCs w:val="24"/>
              </w:rPr>
              <w:t>管理制度健全性</w:t>
            </w:r>
          </w:p>
        </w:tc>
        <w:tc>
          <w:tcPr>
            <w:tcW w:w="516" w:type="dxa"/>
            <w:tcBorders>
              <w:top w:val="single" w:color="auto" w:sz="4" w:space="0"/>
              <w:left w:val="nil"/>
              <w:bottom w:val="single" w:color="auto" w:sz="4" w:space="0"/>
              <w:right w:val="single" w:color="auto" w:sz="4" w:space="0"/>
            </w:tcBorders>
            <w:noWrap w:val="0"/>
            <w:vAlign w:val="center"/>
          </w:tcPr>
          <w:p w14:paraId="47D32666">
            <w:pPr>
              <w:widowControl/>
              <w:spacing w:line="280" w:lineRule="exact"/>
              <w:jc w:val="center"/>
              <w:rPr>
                <w:rFonts w:eastAsia="仿宋" w:cs="Times New Roman"/>
                <w:kern w:val="0"/>
                <w:sz w:val="24"/>
                <w:szCs w:val="24"/>
              </w:rPr>
            </w:pPr>
            <w:r>
              <w:rPr>
                <w:rFonts w:eastAsia="仿宋" w:cs="Times New Roman"/>
                <w:kern w:val="0"/>
                <w:sz w:val="24"/>
                <w:szCs w:val="24"/>
              </w:rPr>
              <w:t>2</w:t>
            </w:r>
          </w:p>
        </w:tc>
        <w:tc>
          <w:tcPr>
            <w:tcW w:w="3752" w:type="dxa"/>
            <w:tcBorders>
              <w:top w:val="single" w:color="auto" w:sz="4" w:space="0"/>
              <w:left w:val="nil"/>
              <w:bottom w:val="single" w:color="auto" w:sz="4" w:space="0"/>
              <w:right w:val="single" w:color="auto" w:sz="4" w:space="0"/>
            </w:tcBorders>
            <w:noWrap w:val="0"/>
            <w:vAlign w:val="center"/>
          </w:tcPr>
          <w:p w14:paraId="4E994E5C">
            <w:pPr>
              <w:widowControl/>
              <w:spacing w:line="280" w:lineRule="exact"/>
              <w:jc w:val="left"/>
              <w:rPr>
                <w:rFonts w:eastAsia="仿宋" w:cs="Times New Roman"/>
                <w:kern w:val="0"/>
                <w:sz w:val="24"/>
                <w:szCs w:val="24"/>
              </w:rPr>
            </w:pPr>
            <w:r>
              <w:rPr>
                <w:rFonts w:eastAsia="仿宋" w:cs="Times New Roman"/>
                <w:kern w:val="0"/>
                <w:sz w:val="24"/>
                <w:szCs w:val="24"/>
              </w:rPr>
              <w:t xml:space="preserve">  部门为加强预算管理、规范财务行为而制定的管理制度是否健全完整，用以反映和考核部门预算管理制度对完成主要职责或促进事业发展的保障情况。</w:t>
            </w:r>
          </w:p>
        </w:tc>
        <w:tc>
          <w:tcPr>
            <w:tcW w:w="3036" w:type="dxa"/>
            <w:tcBorders>
              <w:top w:val="single" w:color="auto" w:sz="4" w:space="0"/>
              <w:left w:val="nil"/>
              <w:bottom w:val="single" w:color="auto" w:sz="4" w:space="0"/>
              <w:right w:val="single" w:color="auto" w:sz="4" w:space="0"/>
            </w:tcBorders>
            <w:noWrap w:val="0"/>
            <w:vAlign w:val="center"/>
          </w:tcPr>
          <w:p w14:paraId="050D426B">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是否已制定或具有预算资金管理办法、内部财务管理制度、会计核算制度、本部门厉行节约制度等管理制度；</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相关管理制度是否合法、合规、完整；</w:t>
            </w:r>
            <w:r>
              <w:rPr>
                <w:rFonts w:eastAsia="仿宋" w:cs="Times New Roman"/>
                <w:kern w:val="0"/>
                <w:sz w:val="24"/>
                <w:szCs w:val="24"/>
              </w:rPr>
              <w:br w:type="textWrapping"/>
            </w:r>
            <w:r>
              <w:rPr>
                <w:rFonts w:hint="eastAsia" w:ascii="宋体" w:hAnsi="宋体" w:cs="宋体"/>
                <w:kern w:val="0"/>
                <w:sz w:val="24"/>
                <w:szCs w:val="24"/>
              </w:rPr>
              <w:t>③</w:t>
            </w:r>
            <w:r>
              <w:rPr>
                <w:rFonts w:eastAsia="仿宋" w:cs="Times New Roman"/>
                <w:kern w:val="0"/>
                <w:sz w:val="24"/>
                <w:szCs w:val="24"/>
              </w:rPr>
              <w:t>相关管理制度是否得到有效执行。</w:t>
            </w:r>
            <w:r>
              <w:rPr>
                <w:rFonts w:eastAsia="仿宋" w:cs="Times New Roman"/>
                <w:kern w:val="0"/>
                <w:sz w:val="24"/>
                <w:szCs w:val="24"/>
              </w:rPr>
              <w:br w:type="textWrapping"/>
            </w:r>
            <w:r>
              <w:rPr>
                <w:rFonts w:eastAsia="仿宋" w:cs="Times New Roman"/>
                <w:kern w:val="0"/>
                <w:sz w:val="24"/>
                <w:szCs w:val="24"/>
              </w:rPr>
              <w:t>每发现一类不合规问题，扣1分，扣完为止。</w:t>
            </w:r>
          </w:p>
        </w:tc>
        <w:tc>
          <w:tcPr>
            <w:tcW w:w="726" w:type="dxa"/>
            <w:tcBorders>
              <w:top w:val="single" w:color="auto" w:sz="4" w:space="0"/>
              <w:left w:val="nil"/>
              <w:bottom w:val="single" w:color="auto" w:sz="4" w:space="0"/>
              <w:right w:val="single" w:color="auto" w:sz="4" w:space="0"/>
            </w:tcBorders>
            <w:noWrap/>
            <w:vAlign w:val="center"/>
          </w:tcPr>
          <w:p w14:paraId="6F3E0D70">
            <w:pPr>
              <w:widowControl/>
              <w:jc w:val="left"/>
              <w:rPr>
                <w:rFonts w:eastAsia="仿宋" w:cs="Times New Roman"/>
                <w:kern w:val="0"/>
                <w:sz w:val="24"/>
                <w:szCs w:val="24"/>
              </w:rPr>
            </w:pPr>
            <w:r>
              <w:rPr>
                <w:rFonts w:eastAsia="仿宋" w:cs="Times New Roman"/>
                <w:kern w:val="0"/>
                <w:sz w:val="24"/>
                <w:szCs w:val="24"/>
              </w:rPr>
              <w:t>　2</w:t>
            </w:r>
          </w:p>
        </w:tc>
      </w:tr>
      <w:tr w14:paraId="571489D0">
        <w:tblPrEx>
          <w:tblCellMar>
            <w:top w:w="0" w:type="dxa"/>
            <w:left w:w="108" w:type="dxa"/>
            <w:bottom w:w="0" w:type="dxa"/>
            <w:right w:w="108" w:type="dxa"/>
          </w:tblCellMar>
        </w:tblPrEx>
        <w:trPr>
          <w:wBefore w:w="0" w:type="auto"/>
          <w:wAfter w:w="0" w:type="auto"/>
          <w:trHeight w:val="409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32C1601">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30C780BD">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54ABCEB">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40A62148">
            <w:pPr>
              <w:widowControl/>
              <w:spacing w:line="280" w:lineRule="exact"/>
              <w:jc w:val="left"/>
              <w:rPr>
                <w:rFonts w:eastAsia="仿宋" w:cs="Times New Roman"/>
                <w:kern w:val="0"/>
                <w:sz w:val="24"/>
                <w:szCs w:val="24"/>
              </w:rPr>
            </w:pPr>
            <w:r>
              <w:rPr>
                <w:rFonts w:eastAsia="仿宋" w:cs="Times New Roman"/>
                <w:kern w:val="0"/>
                <w:sz w:val="24"/>
                <w:szCs w:val="24"/>
              </w:rPr>
              <w:t>资金使用合规性</w:t>
            </w:r>
          </w:p>
        </w:tc>
        <w:tc>
          <w:tcPr>
            <w:tcW w:w="516" w:type="dxa"/>
            <w:tcBorders>
              <w:top w:val="single" w:color="auto" w:sz="4" w:space="0"/>
              <w:left w:val="nil"/>
              <w:bottom w:val="single" w:color="auto" w:sz="4" w:space="0"/>
              <w:right w:val="single" w:color="auto" w:sz="4" w:space="0"/>
            </w:tcBorders>
            <w:noWrap w:val="0"/>
            <w:vAlign w:val="center"/>
          </w:tcPr>
          <w:p w14:paraId="5CE46555">
            <w:pPr>
              <w:widowControl/>
              <w:spacing w:line="280" w:lineRule="exact"/>
              <w:jc w:val="center"/>
              <w:rPr>
                <w:rFonts w:eastAsia="仿宋" w:cs="Times New Roman"/>
                <w:kern w:val="0"/>
                <w:sz w:val="24"/>
                <w:szCs w:val="24"/>
              </w:rPr>
            </w:pPr>
            <w:r>
              <w:rPr>
                <w:rFonts w:eastAsia="仿宋" w:cs="Times New Roman"/>
                <w:kern w:val="0"/>
                <w:sz w:val="24"/>
                <w:szCs w:val="24"/>
              </w:rPr>
              <w:t>5</w:t>
            </w:r>
          </w:p>
        </w:tc>
        <w:tc>
          <w:tcPr>
            <w:tcW w:w="3752" w:type="dxa"/>
            <w:tcBorders>
              <w:top w:val="single" w:color="auto" w:sz="4" w:space="0"/>
              <w:left w:val="nil"/>
              <w:bottom w:val="single" w:color="auto" w:sz="4" w:space="0"/>
              <w:right w:val="single" w:color="auto" w:sz="4" w:space="0"/>
            </w:tcBorders>
            <w:noWrap w:val="0"/>
            <w:vAlign w:val="center"/>
          </w:tcPr>
          <w:p w14:paraId="2F84C69C">
            <w:pPr>
              <w:widowControl/>
              <w:spacing w:line="280" w:lineRule="exact"/>
              <w:jc w:val="left"/>
              <w:rPr>
                <w:rFonts w:eastAsia="仿宋" w:cs="Times New Roman"/>
                <w:kern w:val="0"/>
                <w:sz w:val="24"/>
                <w:szCs w:val="24"/>
              </w:rPr>
            </w:pPr>
            <w:r>
              <w:rPr>
                <w:rFonts w:eastAsia="仿宋" w:cs="Times New Roman"/>
                <w:kern w:val="0"/>
                <w:sz w:val="24"/>
                <w:szCs w:val="24"/>
              </w:rPr>
              <w:t xml:space="preserve">  部门使用预算资金是否符合相关的预算财务管理制度的规定，用以反映和考核部门预算资金的规范运行情况。</w:t>
            </w:r>
          </w:p>
        </w:tc>
        <w:tc>
          <w:tcPr>
            <w:tcW w:w="3036" w:type="dxa"/>
            <w:tcBorders>
              <w:top w:val="single" w:color="auto" w:sz="4" w:space="0"/>
              <w:left w:val="nil"/>
              <w:bottom w:val="single" w:color="auto" w:sz="4" w:space="0"/>
              <w:right w:val="single" w:color="auto" w:sz="4" w:space="0"/>
            </w:tcBorders>
            <w:noWrap w:val="0"/>
            <w:vAlign w:val="center"/>
          </w:tcPr>
          <w:p w14:paraId="2C8A9682">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是否符合国家财经法规和财务管理制度规定以及有关预算支出管理办法的规定；</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资金的拨付是否有完整的审批程序和手续；</w:t>
            </w:r>
            <w:r>
              <w:rPr>
                <w:rFonts w:eastAsia="仿宋" w:cs="Times New Roman"/>
                <w:kern w:val="0"/>
                <w:sz w:val="24"/>
                <w:szCs w:val="24"/>
              </w:rPr>
              <w:br w:type="textWrapping"/>
            </w:r>
            <w:r>
              <w:rPr>
                <w:rFonts w:hint="eastAsia" w:ascii="宋体" w:hAnsi="宋体" w:cs="宋体"/>
                <w:kern w:val="0"/>
                <w:sz w:val="24"/>
                <w:szCs w:val="24"/>
              </w:rPr>
              <w:t>③</w:t>
            </w:r>
            <w:r>
              <w:rPr>
                <w:rFonts w:eastAsia="仿宋" w:cs="Times New Roman"/>
                <w:kern w:val="0"/>
                <w:sz w:val="24"/>
                <w:szCs w:val="24"/>
              </w:rPr>
              <w:t>预算支出的重大开支是否经过评估论证；</w:t>
            </w:r>
            <w:r>
              <w:rPr>
                <w:rFonts w:eastAsia="仿宋" w:cs="Times New Roman"/>
                <w:kern w:val="0"/>
                <w:sz w:val="24"/>
                <w:szCs w:val="24"/>
              </w:rPr>
              <w:br w:type="textWrapping"/>
            </w:r>
            <w:r>
              <w:rPr>
                <w:rFonts w:hint="eastAsia" w:ascii="宋体" w:hAnsi="宋体" w:cs="宋体"/>
                <w:kern w:val="0"/>
                <w:sz w:val="24"/>
                <w:szCs w:val="24"/>
              </w:rPr>
              <w:t>④</w:t>
            </w:r>
            <w:r>
              <w:rPr>
                <w:rFonts w:eastAsia="仿宋" w:cs="Times New Roman"/>
                <w:kern w:val="0"/>
                <w:sz w:val="24"/>
                <w:szCs w:val="24"/>
              </w:rPr>
              <w:t>是否符合部门预算批复的用途；</w:t>
            </w:r>
            <w:r>
              <w:rPr>
                <w:rFonts w:eastAsia="仿宋" w:cs="Times New Roman"/>
                <w:kern w:val="0"/>
                <w:sz w:val="24"/>
                <w:szCs w:val="24"/>
              </w:rPr>
              <w:br w:type="textWrapping"/>
            </w:r>
            <w:r>
              <w:rPr>
                <w:rFonts w:hint="eastAsia" w:ascii="宋体" w:hAnsi="宋体" w:cs="宋体"/>
                <w:kern w:val="0"/>
                <w:sz w:val="24"/>
                <w:szCs w:val="24"/>
              </w:rPr>
              <w:t>⑤</w:t>
            </w:r>
            <w:r>
              <w:rPr>
                <w:rFonts w:eastAsia="仿宋" w:cs="Times New Roman"/>
                <w:kern w:val="0"/>
                <w:sz w:val="24"/>
                <w:szCs w:val="24"/>
              </w:rPr>
              <w:t>是否存在截留、挤占、挪用、虚列支出等情况。</w:t>
            </w:r>
            <w:r>
              <w:rPr>
                <w:rFonts w:eastAsia="仿宋" w:cs="Times New Roman"/>
                <w:kern w:val="0"/>
                <w:sz w:val="24"/>
                <w:szCs w:val="24"/>
              </w:rPr>
              <w:br w:type="textWrapping"/>
            </w:r>
            <w:r>
              <w:rPr>
                <w:rFonts w:eastAsia="仿宋" w:cs="Times New Roman"/>
                <w:kern w:val="0"/>
                <w:sz w:val="24"/>
                <w:szCs w:val="24"/>
              </w:rPr>
              <w:t>每发现一类不合规问题，扣2分，扣完为止。</w:t>
            </w:r>
          </w:p>
        </w:tc>
        <w:tc>
          <w:tcPr>
            <w:tcW w:w="726" w:type="dxa"/>
            <w:tcBorders>
              <w:top w:val="single" w:color="auto" w:sz="4" w:space="0"/>
              <w:left w:val="nil"/>
              <w:bottom w:val="single" w:color="auto" w:sz="4" w:space="0"/>
              <w:right w:val="single" w:color="auto" w:sz="4" w:space="0"/>
            </w:tcBorders>
            <w:noWrap/>
            <w:vAlign w:val="center"/>
          </w:tcPr>
          <w:p w14:paraId="34AA742D">
            <w:pPr>
              <w:widowControl/>
              <w:jc w:val="left"/>
              <w:rPr>
                <w:rFonts w:eastAsia="仿宋" w:cs="Times New Roman"/>
                <w:kern w:val="0"/>
                <w:sz w:val="24"/>
                <w:szCs w:val="24"/>
              </w:rPr>
            </w:pPr>
            <w:r>
              <w:rPr>
                <w:rFonts w:eastAsia="仿宋" w:cs="Times New Roman"/>
                <w:kern w:val="0"/>
                <w:sz w:val="24"/>
                <w:szCs w:val="24"/>
              </w:rPr>
              <w:t>　5</w:t>
            </w:r>
          </w:p>
        </w:tc>
      </w:tr>
      <w:tr w14:paraId="087C7267">
        <w:tblPrEx>
          <w:tblCellMar>
            <w:top w:w="0" w:type="dxa"/>
            <w:left w:w="108" w:type="dxa"/>
            <w:bottom w:w="0" w:type="dxa"/>
            <w:right w:w="108" w:type="dxa"/>
          </w:tblCellMar>
        </w:tblPrEx>
        <w:trPr>
          <w:wBefore w:w="0" w:type="auto"/>
          <w:wAfter w:w="0" w:type="auto"/>
          <w:trHeight w:val="225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0DA37BF0">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44A2FA4C">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4AB42C15">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2ED399AC">
            <w:pPr>
              <w:widowControl/>
              <w:spacing w:line="280" w:lineRule="exact"/>
              <w:jc w:val="left"/>
              <w:rPr>
                <w:rFonts w:eastAsia="仿宋" w:cs="Times New Roman"/>
                <w:kern w:val="0"/>
                <w:sz w:val="24"/>
                <w:szCs w:val="24"/>
              </w:rPr>
            </w:pPr>
            <w:r>
              <w:rPr>
                <w:rFonts w:eastAsia="仿宋" w:cs="Times New Roman"/>
                <w:kern w:val="0"/>
                <w:sz w:val="24"/>
                <w:szCs w:val="24"/>
              </w:rPr>
              <w:t>预决算信息公开性</w:t>
            </w:r>
          </w:p>
        </w:tc>
        <w:tc>
          <w:tcPr>
            <w:tcW w:w="516" w:type="dxa"/>
            <w:tcBorders>
              <w:top w:val="single" w:color="auto" w:sz="4" w:space="0"/>
              <w:left w:val="nil"/>
              <w:bottom w:val="single" w:color="auto" w:sz="4" w:space="0"/>
              <w:right w:val="single" w:color="auto" w:sz="4" w:space="0"/>
            </w:tcBorders>
            <w:noWrap w:val="0"/>
            <w:vAlign w:val="center"/>
          </w:tcPr>
          <w:p w14:paraId="48053023">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1E20CB74">
            <w:pPr>
              <w:widowControl/>
              <w:spacing w:line="280" w:lineRule="exact"/>
              <w:jc w:val="left"/>
              <w:rPr>
                <w:rFonts w:eastAsia="仿宋" w:cs="Times New Roman"/>
                <w:kern w:val="0"/>
                <w:sz w:val="24"/>
                <w:szCs w:val="24"/>
              </w:rPr>
            </w:pPr>
            <w:r>
              <w:rPr>
                <w:rFonts w:eastAsia="仿宋" w:cs="Times New Roman"/>
                <w:kern w:val="0"/>
                <w:sz w:val="24"/>
                <w:szCs w:val="24"/>
              </w:rPr>
              <w:t xml:space="preserve">  部门是否按照政府信息公开有关规定公开相关预决算信息，用以反映和考核部门预决算管理的公开透明情况。</w:t>
            </w:r>
            <w:r>
              <w:rPr>
                <w:rFonts w:eastAsia="仿宋" w:cs="Times New Roman"/>
                <w:kern w:val="0"/>
                <w:sz w:val="24"/>
                <w:szCs w:val="24"/>
              </w:rPr>
              <w:br w:type="textWrapping"/>
            </w:r>
            <w:r>
              <w:rPr>
                <w:rFonts w:eastAsia="仿宋" w:cs="Times New Roman"/>
                <w:kern w:val="0"/>
                <w:sz w:val="24"/>
                <w:szCs w:val="24"/>
              </w:rPr>
              <w:t xml:space="preserve">  预决算信息是指与部门预算、执行、决算、监督、绩效等管理相关的信息。</w:t>
            </w:r>
          </w:p>
        </w:tc>
        <w:tc>
          <w:tcPr>
            <w:tcW w:w="3036" w:type="dxa"/>
            <w:tcBorders>
              <w:top w:val="single" w:color="auto" w:sz="4" w:space="0"/>
              <w:left w:val="nil"/>
              <w:bottom w:val="single" w:color="auto" w:sz="4" w:space="0"/>
              <w:right w:val="single" w:color="auto" w:sz="4" w:space="0"/>
            </w:tcBorders>
            <w:noWrap w:val="0"/>
            <w:vAlign w:val="center"/>
          </w:tcPr>
          <w:p w14:paraId="5C7E4A13">
            <w:pPr>
              <w:widowControl/>
              <w:spacing w:line="280" w:lineRule="exact"/>
              <w:jc w:val="left"/>
              <w:rPr>
                <w:rFonts w:eastAsia="仿宋" w:cs="Times New Roman"/>
                <w:kern w:val="0"/>
                <w:sz w:val="24"/>
                <w:szCs w:val="24"/>
              </w:rPr>
            </w:pPr>
            <w:r>
              <w:rPr>
                <w:rFonts w:eastAsia="仿宋" w:cs="Times New Roman"/>
                <w:kern w:val="0"/>
                <w:sz w:val="24"/>
                <w:szCs w:val="24"/>
              </w:rPr>
              <w:t>基础数据信息和会计信息资料是否真实、完整、准确。</w:t>
            </w:r>
            <w:r>
              <w:rPr>
                <w:rFonts w:eastAsia="仿宋" w:cs="Times New Roman"/>
                <w:kern w:val="0"/>
                <w:sz w:val="24"/>
                <w:szCs w:val="24"/>
              </w:rPr>
              <w:br w:type="textWrapping"/>
            </w:r>
            <w:r>
              <w:rPr>
                <w:rFonts w:eastAsia="仿宋" w:cs="Times New Roman"/>
                <w:kern w:val="0"/>
                <w:sz w:val="24"/>
                <w:szCs w:val="24"/>
              </w:rPr>
              <w:t>每发现一类不合规问题，扣0.5分，扣完为止。</w:t>
            </w:r>
          </w:p>
        </w:tc>
        <w:tc>
          <w:tcPr>
            <w:tcW w:w="726" w:type="dxa"/>
            <w:tcBorders>
              <w:top w:val="single" w:color="auto" w:sz="4" w:space="0"/>
              <w:left w:val="nil"/>
              <w:bottom w:val="single" w:color="auto" w:sz="4" w:space="0"/>
              <w:right w:val="single" w:color="auto" w:sz="4" w:space="0"/>
            </w:tcBorders>
            <w:noWrap/>
            <w:vAlign w:val="center"/>
          </w:tcPr>
          <w:p w14:paraId="3EC18878">
            <w:pPr>
              <w:widowControl/>
              <w:jc w:val="left"/>
              <w:rPr>
                <w:rFonts w:eastAsia="仿宋" w:cs="Times New Roman"/>
                <w:kern w:val="0"/>
                <w:sz w:val="24"/>
                <w:szCs w:val="24"/>
              </w:rPr>
            </w:pPr>
            <w:r>
              <w:rPr>
                <w:rFonts w:eastAsia="仿宋" w:cs="Times New Roman"/>
                <w:kern w:val="0"/>
                <w:sz w:val="24"/>
                <w:szCs w:val="24"/>
              </w:rPr>
              <w:t>　1</w:t>
            </w:r>
          </w:p>
        </w:tc>
      </w:tr>
      <w:tr w14:paraId="0181B3C7">
        <w:tblPrEx>
          <w:tblCellMar>
            <w:top w:w="0" w:type="dxa"/>
            <w:left w:w="108" w:type="dxa"/>
            <w:bottom w:w="0" w:type="dxa"/>
            <w:right w:w="108" w:type="dxa"/>
          </w:tblCellMar>
        </w:tblPrEx>
        <w:trPr>
          <w:wBefore w:w="0" w:type="auto"/>
          <w:wAfter w:w="0" w:type="auto"/>
          <w:trHeight w:val="2116"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3B7A4DF">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77F7694">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37E163F">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1DF84A49">
            <w:pPr>
              <w:widowControl/>
              <w:spacing w:line="280" w:lineRule="exact"/>
              <w:jc w:val="left"/>
              <w:rPr>
                <w:rFonts w:eastAsia="仿宋" w:cs="Times New Roman"/>
                <w:kern w:val="0"/>
                <w:sz w:val="24"/>
                <w:szCs w:val="24"/>
              </w:rPr>
            </w:pPr>
            <w:r>
              <w:rPr>
                <w:rFonts w:eastAsia="仿宋" w:cs="Times New Roman"/>
                <w:kern w:val="0"/>
                <w:sz w:val="24"/>
                <w:szCs w:val="24"/>
              </w:rPr>
              <w:t>基础信息完善性</w:t>
            </w:r>
          </w:p>
        </w:tc>
        <w:tc>
          <w:tcPr>
            <w:tcW w:w="516" w:type="dxa"/>
            <w:tcBorders>
              <w:top w:val="single" w:color="auto" w:sz="4" w:space="0"/>
              <w:left w:val="nil"/>
              <w:bottom w:val="single" w:color="auto" w:sz="4" w:space="0"/>
              <w:right w:val="single" w:color="auto" w:sz="4" w:space="0"/>
            </w:tcBorders>
            <w:noWrap w:val="0"/>
            <w:vAlign w:val="center"/>
          </w:tcPr>
          <w:p w14:paraId="2899CAB8">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nil"/>
            </w:tcBorders>
            <w:noWrap/>
            <w:vAlign w:val="center"/>
          </w:tcPr>
          <w:p w14:paraId="5FFC7FAF">
            <w:pPr>
              <w:widowControl/>
              <w:spacing w:line="280" w:lineRule="exact"/>
              <w:rPr>
                <w:rFonts w:eastAsia="仿宋" w:cs="Times New Roman"/>
                <w:kern w:val="0"/>
                <w:sz w:val="24"/>
                <w:szCs w:val="24"/>
              </w:rPr>
            </w:pPr>
            <w:r>
              <w:rPr>
                <w:rFonts w:eastAsia="仿宋" w:cs="Times New Roman"/>
                <w:kern w:val="0"/>
                <w:sz w:val="24"/>
                <w:szCs w:val="24"/>
              </w:rPr>
              <w:t xml:space="preserve">  部门基础信息是否完善，用以反映和考核基础信息对预算管理工作的支撑情况。</w:t>
            </w:r>
          </w:p>
        </w:tc>
        <w:tc>
          <w:tcPr>
            <w:tcW w:w="3036" w:type="dxa"/>
            <w:tcBorders>
              <w:top w:val="single" w:color="auto" w:sz="4" w:space="0"/>
              <w:left w:val="single" w:color="auto" w:sz="4" w:space="0"/>
              <w:bottom w:val="single" w:color="auto" w:sz="4" w:space="0"/>
              <w:right w:val="single" w:color="auto" w:sz="4" w:space="0"/>
            </w:tcBorders>
            <w:noWrap w:val="0"/>
            <w:vAlign w:val="center"/>
          </w:tcPr>
          <w:p w14:paraId="63E6D664">
            <w:pPr>
              <w:widowControl/>
              <w:spacing w:line="280" w:lineRule="exact"/>
              <w:jc w:val="left"/>
              <w:rPr>
                <w:rFonts w:eastAsia="仿宋" w:cs="Times New Roman"/>
                <w:kern w:val="0"/>
                <w:sz w:val="24"/>
                <w:szCs w:val="24"/>
              </w:rPr>
            </w:pPr>
            <w:r>
              <w:rPr>
                <w:rFonts w:eastAsia="仿宋" w:cs="Times New Roman"/>
                <w:kern w:val="0"/>
                <w:sz w:val="24"/>
                <w:szCs w:val="24"/>
              </w:rPr>
              <w:t>基础数据信息和会计信息资料真实、完整、准确，得1分。</w:t>
            </w:r>
          </w:p>
        </w:tc>
        <w:tc>
          <w:tcPr>
            <w:tcW w:w="726" w:type="dxa"/>
            <w:tcBorders>
              <w:top w:val="single" w:color="auto" w:sz="4" w:space="0"/>
              <w:left w:val="nil"/>
              <w:bottom w:val="single" w:color="auto" w:sz="4" w:space="0"/>
              <w:right w:val="single" w:color="auto" w:sz="4" w:space="0"/>
            </w:tcBorders>
            <w:noWrap/>
            <w:vAlign w:val="center"/>
          </w:tcPr>
          <w:p w14:paraId="7FC8D273">
            <w:pPr>
              <w:widowControl/>
              <w:jc w:val="left"/>
              <w:rPr>
                <w:rFonts w:eastAsia="仿宋" w:cs="Times New Roman"/>
                <w:kern w:val="0"/>
                <w:sz w:val="24"/>
                <w:szCs w:val="24"/>
              </w:rPr>
            </w:pPr>
            <w:r>
              <w:rPr>
                <w:rFonts w:eastAsia="仿宋" w:cs="Times New Roman"/>
                <w:kern w:val="0"/>
                <w:sz w:val="24"/>
                <w:szCs w:val="24"/>
              </w:rPr>
              <w:t>　1</w:t>
            </w:r>
          </w:p>
        </w:tc>
      </w:tr>
      <w:tr w14:paraId="68CA150E">
        <w:tblPrEx>
          <w:tblCellMar>
            <w:top w:w="0" w:type="dxa"/>
            <w:left w:w="108" w:type="dxa"/>
            <w:bottom w:w="0" w:type="dxa"/>
            <w:right w:w="108" w:type="dxa"/>
          </w:tblCellMar>
        </w:tblPrEx>
        <w:trPr>
          <w:wBefore w:w="0" w:type="auto"/>
          <w:wAfter w:w="0" w:type="auto"/>
          <w:trHeight w:val="2121"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1BEC522">
            <w:pPr>
              <w:widowControl/>
              <w:spacing w:line="280" w:lineRule="exact"/>
              <w:jc w:val="left"/>
              <w:rPr>
                <w:rFonts w:eastAsia="仿宋" w:cs="Times New Roman"/>
                <w:kern w:val="0"/>
                <w:sz w:val="24"/>
                <w:szCs w:val="24"/>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62AAF922">
            <w:pPr>
              <w:widowControl/>
              <w:spacing w:line="280" w:lineRule="exact"/>
              <w:jc w:val="center"/>
              <w:rPr>
                <w:rFonts w:eastAsia="仿宋" w:cs="Times New Roman"/>
                <w:kern w:val="0"/>
                <w:sz w:val="24"/>
                <w:szCs w:val="24"/>
              </w:rPr>
            </w:pPr>
            <w:r>
              <w:rPr>
                <w:rFonts w:eastAsia="仿宋" w:cs="Times New Roman"/>
                <w:kern w:val="0"/>
                <w:sz w:val="24"/>
                <w:szCs w:val="24"/>
              </w:rPr>
              <w:t>资产</w:t>
            </w:r>
            <w:r>
              <w:rPr>
                <w:rFonts w:eastAsia="仿宋" w:cs="Times New Roman"/>
                <w:kern w:val="0"/>
                <w:sz w:val="24"/>
                <w:szCs w:val="24"/>
              </w:rPr>
              <w:br w:type="textWrapping"/>
            </w:r>
            <w:r>
              <w:rPr>
                <w:rFonts w:eastAsia="仿宋" w:cs="Times New Roman"/>
                <w:kern w:val="0"/>
                <w:sz w:val="24"/>
                <w:szCs w:val="24"/>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11CECD26">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676" w:type="dxa"/>
            <w:tcBorders>
              <w:top w:val="single" w:color="auto" w:sz="4" w:space="0"/>
              <w:left w:val="nil"/>
              <w:bottom w:val="single" w:color="auto" w:sz="4" w:space="0"/>
              <w:right w:val="single" w:color="auto" w:sz="4" w:space="0"/>
            </w:tcBorders>
            <w:noWrap w:val="0"/>
            <w:vAlign w:val="center"/>
          </w:tcPr>
          <w:p w14:paraId="55C9941B">
            <w:pPr>
              <w:widowControl/>
              <w:spacing w:line="280" w:lineRule="exact"/>
              <w:jc w:val="left"/>
              <w:rPr>
                <w:rFonts w:eastAsia="仿宋" w:cs="Times New Roman"/>
                <w:kern w:val="0"/>
                <w:sz w:val="24"/>
                <w:szCs w:val="24"/>
              </w:rPr>
            </w:pPr>
            <w:r>
              <w:rPr>
                <w:rFonts w:eastAsia="仿宋" w:cs="Times New Roman"/>
                <w:kern w:val="0"/>
                <w:sz w:val="24"/>
                <w:szCs w:val="24"/>
              </w:rPr>
              <w:t>管理制度健全性</w:t>
            </w:r>
          </w:p>
        </w:tc>
        <w:tc>
          <w:tcPr>
            <w:tcW w:w="516" w:type="dxa"/>
            <w:tcBorders>
              <w:top w:val="single" w:color="auto" w:sz="4" w:space="0"/>
              <w:left w:val="nil"/>
              <w:bottom w:val="single" w:color="auto" w:sz="4" w:space="0"/>
              <w:right w:val="single" w:color="auto" w:sz="4" w:space="0"/>
            </w:tcBorders>
            <w:noWrap w:val="0"/>
            <w:vAlign w:val="center"/>
          </w:tcPr>
          <w:p w14:paraId="12D69D27">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08EDEF21">
            <w:pPr>
              <w:widowControl/>
              <w:spacing w:line="280" w:lineRule="exact"/>
              <w:jc w:val="left"/>
              <w:rPr>
                <w:rFonts w:eastAsia="仿宋" w:cs="Times New Roman"/>
                <w:kern w:val="0"/>
                <w:sz w:val="24"/>
                <w:szCs w:val="24"/>
              </w:rPr>
            </w:pPr>
            <w:r>
              <w:rPr>
                <w:rFonts w:eastAsia="仿宋" w:cs="Times New Roman"/>
                <w:kern w:val="0"/>
                <w:sz w:val="24"/>
                <w:szCs w:val="24"/>
              </w:rPr>
              <w:t xml:space="preserve">  部门为加强资产管理、规范资产管理行为而制定的管理制度是否健全完整，用以反映和考核部门资产管理制度对完成主要职责或促进社会发展的保障情况。</w:t>
            </w:r>
          </w:p>
        </w:tc>
        <w:tc>
          <w:tcPr>
            <w:tcW w:w="3036" w:type="dxa"/>
            <w:tcBorders>
              <w:top w:val="single" w:color="auto" w:sz="4" w:space="0"/>
              <w:left w:val="nil"/>
              <w:bottom w:val="single" w:color="auto" w:sz="4" w:space="0"/>
              <w:right w:val="single" w:color="auto" w:sz="4" w:space="0"/>
            </w:tcBorders>
            <w:noWrap w:val="0"/>
            <w:vAlign w:val="center"/>
          </w:tcPr>
          <w:p w14:paraId="33CFC4E7">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 xml:space="preserve">已制定或具有资产管理制度，相关资金管理制度合法、合规、完整。得0.5分；           </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相关资产管理制度得到有效执行，得0.5分。</w:t>
            </w:r>
          </w:p>
        </w:tc>
        <w:tc>
          <w:tcPr>
            <w:tcW w:w="726" w:type="dxa"/>
            <w:tcBorders>
              <w:top w:val="single" w:color="auto" w:sz="4" w:space="0"/>
              <w:left w:val="nil"/>
              <w:bottom w:val="single" w:color="auto" w:sz="4" w:space="0"/>
              <w:right w:val="single" w:color="auto" w:sz="4" w:space="0"/>
            </w:tcBorders>
            <w:noWrap/>
            <w:vAlign w:val="center"/>
          </w:tcPr>
          <w:p w14:paraId="68F82B5A">
            <w:pPr>
              <w:widowControl/>
              <w:jc w:val="left"/>
              <w:rPr>
                <w:rFonts w:eastAsia="仿宋" w:cs="Times New Roman"/>
                <w:kern w:val="0"/>
                <w:sz w:val="24"/>
                <w:szCs w:val="24"/>
              </w:rPr>
            </w:pPr>
            <w:r>
              <w:rPr>
                <w:rFonts w:eastAsia="仿宋" w:cs="Times New Roman"/>
                <w:kern w:val="0"/>
                <w:sz w:val="24"/>
                <w:szCs w:val="24"/>
              </w:rPr>
              <w:t>　1</w:t>
            </w:r>
          </w:p>
        </w:tc>
      </w:tr>
      <w:tr w14:paraId="4244E32F">
        <w:tblPrEx>
          <w:tblCellMar>
            <w:top w:w="0" w:type="dxa"/>
            <w:left w:w="108" w:type="dxa"/>
            <w:bottom w:w="0" w:type="dxa"/>
            <w:right w:w="108" w:type="dxa"/>
          </w:tblCellMar>
        </w:tblPrEx>
        <w:trPr>
          <w:wBefore w:w="0" w:type="auto"/>
          <w:wAfter w:w="0" w:type="auto"/>
          <w:trHeight w:val="213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4D00357">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7F6BF60">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4DB5A62">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3BD18B42">
            <w:pPr>
              <w:widowControl/>
              <w:spacing w:line="280" w:lineRule="exact"/>
              <w:jc w:val="left"/>
              <w:rPr>
                <w:rFonts w:eastAsia="仿宋" w:cs="Times New Roman"/>
                <w:kern w:val="0"/>
                <w:sz w:val="24"/>
                <w:szCs w:val="24"/>
              </w:rPr>
            </w:pPr>
            <w:r>
              <w:rPr>
                <w:rFonts w:eastAsia="仿宋" w:cs="Times New Roman"/>
                <w:kern w:val="0"/>
                <w:sz w:val="24"/>
                <w:szCs w:val="24"/>
              </w:rPr>
              <w:t>资产管理安全性</w:t>
            </w:r>
          </w:p>
        </w:tc>
        <w:tc>
          <w:tcPr>
            <w:tcW w:w="516" w:type="dxa"/>
            <w:tcBorders>
              <w:top w:val="single" w:color="auto" w:sz="4" w:space="0"/>
              <w:left w:val="nil"/>
              <w:bottom w:val="single" w:color="auto" w:sz="4" w:space="0"/>
              <w:right w:val="single" w:color="auto" w:sz="4" w:space="0"/>
            </w:tcBorders>
            <w:noWrap w:val="0"/>
            <w:vAlign w:val="center"/>
          </w:tcPr>
          <w:p w14:paraId="15B2646E">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34D9E214">
            <w:pPr>
              <w:widowControl/>
              <w:spacing w:line="280" w:lineRule="exact"/>
              <w:jc w:val="left"/>
              <w:rPr>
                <w:rFonts w:eastAsia="仿宋" w:cs="Times New Roman"/>
                <w:kern w:val="0"/>
                <w:sz w:val="24"/>
                <w:szCs w:val="24"/>
              </w:rPr>
            </w:pPr>
            <w:r>
              <w:rPr>
                <w:rFonts w:eastAsia="仿宋" w:cs="Times New Roman"/>
                <w:kern w:val="0"/>
                <w:sz w:val="24"/>
                <w:szCs w:val="24"/>
              </w:rPr>
              <w:t xml:space="preserve">  部门的资产是否保存完整、使用合规、配置合理、处置规范、收入及时足额上缴，用以反映和考核部门资产安全运行情况。</w:t>
            </w:r>
          </w:p>
        </w:tc>
        <w:tc>
          <w:tcPr>
            <w:tcW w:w="3036" w:type="dxa"/>
            <w:tcBorders>
              <w:top w:val="single" w:color="auto" w:sz="4" w:space="0"/>
              <w:left w:val="nil"/>
              <w:bottom w:val="single" w:color="auto" w:sz="4" w:space="0"/>
              <w:right w:val="single" w:color="auto" w:sz="4" w:space="0"/>
            </w:tcBorders>
            <w:noWrap w:val="0"/>
            <w:vAlign w:val="center"/>
          </w:tcPr>
          <w:p w14:paraId="4285B697">
            <w:pPr>
              <w:widowControl/>
              <w:spacing w:line="280" w:lineRule="exact"/>
              <w:jc w:val="left"/>
              <w:rPr>
                <w:rFonts w:eastAsia="仿宋" w:cs="Times New Roman"/>
                <w:kern w:val="0"/>
                <w:sz w:val="24"/>
                <w:szCs w:val="24"/>
              </w:rPr>
            </w:pPr>
            <w:r>
              <w:rPr>
                <w:rFonts w:hint="eastAsia" w:ascii="宋体" w:hAnsi="宋体" w:cs="宋体"/>
                <w:kern w:val="0"/>
                <w:sz w:val="24"/>
                <w:szCs w:val="24"/>
              </w:rPr>
              <w:t>①</w:t>
            </w:r>
            <w:r>
              <w:rPr>
                <w:rFonts w:eastAsia="仿宋" w:cs="Times New Roman"/>
                <w:kern w:val="0"/>
                <w:sz w:val="24"/>
                <w:szCs w:val="24"/>
              </w:rPr>
              <w:t>资产保存完整、配置合理、处置规范，得0.5分；</w:t>
            </w:r>
            <w:r>
              <w:rPr>
                <w:rFonts w:eastAsia="仿宋" w:cs="Times New Roman"/>
                <w:kern w:val="0"/>
                <w:sz w:val="24"/>
                <w:szCs w:val="24"/>
              </w:rPr>
              <w:br w:type="textWrapping"/>
            </w:r>
            <w:r>
              <w:rPr>
                <w:rFonts w:hint="eastAsia" w:ascii="宋体" w:hAnsi="宋体" w:cs="宋体"/>
                <w:kern w:val="0"/>
                <w:sz w:val="24"/>
                <w:szCs w:val="24"/>
              </w:rPr>
              <w:t>②</w:t>
            </w:r>
            <w:r>
              <w:rPr>
                <w:rFonts w:eastAsia="仿宋" w:cs="Times New Roman"/>
                <w:kern w:val="0"/>
                <w:sz w:val="24"/>
                <w:szCs w:val="24"/>
              </w:rPr>
              <w:t>资产账务管理合规，帐实相符，资产有偿使用及处置收入及时足额上缴，得0.5分。</w:t>
            </w:r>
          </w:p>
        </w:tc>
        <w:tc>
          <w:tcPr>
            <w:tcW w:w="726" w:type="dxa"/>
            <w:tcBorders>
              <w:top w:val="single" w:color="auto" w:sz="4" w:space="0"/>
              <w:left w:val="nil"/>
              <w:bottom w:val="single" w:color="auto" w:sz="4" w:space="0"/>
              <w:right w:val="single" w:color="auto" w:sz="4" w:space="0"/>
            </w:tcBorders>
            <w:noWrap/>
            <w:vAlign w:val="center"/>
          </w:tcPr>
          <w:p w14:paraId="1ED20A50">
            <w:pPr>
              <w:widowControl/>
              <w:jc w:val="left"/>
              <w:rPr>
                <w:rFonts w:eastAsia="仿宋" w:cs="Times New Roman"/>
                <w:kern w:val="0"/>
                <w:sz w:val="24"/>
                <w:szCs w:val="24"/>
              </w:rPr>
            </w:pPr>
            <w:r>
              <w:rPr>
                <w:rFonts w:eastAsia="仿宋" w:cs="Times New Roman"/>
                <w:kern w:val="0"/>
                <w:sz w:val="24"/>
                <w:szCs w:val="24"/>
              </w:rPr>
              <w:t>　1</w:t>
            </w:r>
          </w:p>
        </w:tc>
      </w:tr>
      <w:tr w14:paraId="367C1C1C">
        <w:tblPrEx>
          <w:tblCellMar>
            <w:top w:w="0" w:type="dxa"/>
            <w:left w:w="108" w:type="dxa"/>
            <w:bottom w:w="0" w:type="dxa"/>
            <w:right w:w="108" w:type="dxa"/>
          </w:tblCellMar>
        </w:tblPrEx>
        <w:trPr>
          <w:wBefore w:w="0" w:type="auto"/>
          <w:wAfter w:w="0" w:type="auto"/>
          <w:trHeight w:val="231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1C127228">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D00F577">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D736638">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3C56CDF8">
            <w:pPr>
              <w:widowControl/>
              <w:spacing w:line="280" w:lineRule="exact"/>
              <w:jc w:val="left"/>
              <w:rPr>
                <w:rFonts w:eastAsia="仿宋" w:cs="Times New Roman"/>
                <w:kern w:val="0"/>
                <w:sz w:val="24"/>
                <w:szCs w:val="24"/>
              </w:rPr>
            </w:pPr>
            <w:r>
              <w:rPr>
                <w:rFonts w:eastAsia="仿宋" w:cs="Times New Roman"/>
                <w:kern w:val="0"/>
                <w:sz w:val="24"/>
                <w:szCs w:val="24"/>
              </w:rPr>
              <w:t>固定资产利用率</w:t>
            </w:r>
          </w:p>
        </w:tc>
        <w:tc>
          <w:tcPr>
            <w:tcW w:w="516" w:type="dxa"/>
            <w:tcBorders>
              <w:top w:val="single" w:color="auto" w:sz="4" w:space="0"/>
              <w:left w:val="nil"/>
              <w:bottom w:val="single" w:color="auto" w:sz="4" w:space="0"/>
              <w:right w:val="single" w:color="auto" w:sz="4" w:space="0"/>
            </w:tcBorders>
            <w:noWrap w:val="0"/>
            <w:vAlign w:val="center"/>
          </w:tcPr>
          <w:p w14:paraId="44E01696">
            <w:pPr>
              <w:widowControl/>
              <w:spacing w:line="280" w:lineRule="exact"/>
              <w:jc w:val="center"/>
              <w:rPr>
                <w:rFonts w:eastAsia="仿宋" w:cs="Times New Roman"/>
                <w:kern w:val="0"/>
                <w:sz w:val="24"/>
                <w:szCs w:val="24"/>
              </w:rPr>
            </w:pPr>
            <w:r>
              <w:rPr>
                <w:rFonts w:eastAsia="仿宋" w:cs="Times New Roman"/>
                <w:kern w:val="0"/>
                <w:sz w:val="24"/>
                <w:szCs w:val="24"/>
              </w:rPr>
              <w:t>1</w:t>
            </w:r>
          </w:p>
        </w:tc>
        <w:tc>
          <w:tcPr>
            <w:tcW w:w="3752" w:type="dxa"/>
            <w:tcBorders>
              <w:top w:val="single" w:color="auto" w:sz="4" w:space="0"/>
              <w:left w:val="nil"/>
              <w:bottom w:val="single" w:color="auto" w:sz="4" w:space="0"/>
              <w:right w:val="single" w:color="auto" w:sz="4" w:space="0"/>
            </w:tcBorders>
            <w:noWrap w:val="0"/>
            <w:vAlign w:val="center"/>
          </w:tcPr>
          <w:p w14:paraId="260E5CCC">
            <w:pPr>
              <w:widowControl/>
              <w:spacing w:line="280" w:lineRule="exact"/>
              <w:jc w:val="left"/>
              <w:rPr>
                <w:rFonts w:eastAsia="仿宋" w:cs="Times New Roman"/>
                <w:kern w:val="0"/>
                <w:sz w:val="24"/>
                <w:szCs w:val="24"/>
              </w:rPr>
            </w:pPr>
            <w:r>
              <w:rPr>
                <w:rFonts w:eastAsia="仿宋" w:cs="Times New Roman"/>
                <w:kern w:val="0"/>
                <w:sz w:val="24"/>
                <w:szCs w:val="24"/>
              </w:rPr>
              <w:t xml:space="preserve">  实际在用固定资产总额与所有固定资产总额的比率，用以反映和考核部门固定资产使用效率程度。</w:t>
            </w:r>
            <w:r>
              <w:rPr>
                <w:rFonts w:eastAsia="仿宋" w:cs="Times New Roman"/>
                <w:kern w:val="0"/>
                <w:sz w:val="24"/>
                <w:szCs w:val="24"/>
              </w:rPr>
              <w:br w:type="textWrapping"/>
            </w:r>
            <w:r>
              <w:rPr>
                <w:rFonts w:eastAsia="仿宋" w:cs="Times New Roman"/>
                <w:kern w:val="0"/>
                <w:sz w:val="24"/>
                <w:szCs w:val="24"/>
              </w:rPr>
              <w:t xml:space="preserve">  固定资产利用率=（实际在用固定资产总额/所有固定资产总额）×100%。</w:t>
            </w:r>
          </w:p>
        </w:tc>
        <w:tc>
          <w:tcPr>
            <w:tcW w:w="3036" w:type="dxa"/>
            <w:tcBorders>
              <w:top w:val="single" w:color="auto" w:sz="4" w:space="0"/>
              <w:left w:val="nil"/>
              <w:bottom w:val="single" w:color="auto" w:sz="4" w:space="0"/>
              <w:right w:val="single" w:color="auto" w:sz="4" w:space="0"/>
            </w:tcBorders>
            <w:noWrap w:val="0"/>
            <w:vAlign w:val="center"/>
          </w:tcPr>
          <w:p w14:paraId="4352E325">
            <w:pPr>
              <w:widowControl/>
              <w:spacing w:line="280" w:lineRule="exact"/>
              <w:jc w:val="left"/>
              <w:rPr>
                <w:rFonts w:eastAsia="仿宋" w:cs="Times New Roman"/>
                <w:kern w:val="0"/>
                <w:sz w:val="24"/>
                <w:szCs w:val="24"/>
              </w:rPr>
            </w:pPr>
            <w:r>
              <w:rPr>
                <w:rFonts w:eastAsia="仿宋" w:cs="Times New Roman"/>
                <w:kern w:val="0"/>
                <w:sz w:val="24"/>
                <w:szCs w:val="24"/>
              </w:rPr>
              <w:t>固定资产利用率=100%，得1分；</w:t>
            </w:r>
            <w:r>
              <w:rPr>
                <w:rFonts w:eastAsia="仿宋" w:cs="Times New Roman"/>
                <w:kern w:val="0"/>
                <w:sz w:val="24"/>
                <w:szCs w:val="24"/>
              </w:rPr>
              <w:br w:type="textWrapping"/>
            </w:r>
            <w:r>
              <w:rPr>
                <w:rFonts w:eastAsia="仿宋" w:cs="Times New Roman"/>
                <w:kern w:val="0"/>
                <w:sz w:val="24"/>
                <w:szCs w:val="24"/>
              </w:rPr>
              <w:t>每低一个百分点，扣0.1分，扣完为止。</w:t>
            </w:r>
          </w:p>
        </w:tc>
        <w:tc>
          <w:tcPr>
            <w:tcW w:w="726" w:type="dxa"/>
            <w:tcBorders>
              <w:top w:val="single" w:color="auto" w:sz="4" w:space="0"/>
              <w:left w:val="nil"/>
              <w:bottom w:val="single" w:color="auto" w:sz="4" w:space="0"/>
              <w:right w:val="single" w:color="auto" w:sz="4" w:space="0"/>
            </w:tcBorders>
            <w:noWrap/>
            <w:vAlign w:val="center"/>
          </w:tcPr>
          <w:p w14:paraId="75DA4149">
            <w:pPr>
              <w:widowControl/>
              <w:jc w:val="left"/>
              <w:rPr>
                <w:rFonts w:eastAsia="仿宋" w:cs="Times New Roman"/>
                <w:kern w:val="0"/>
                <w:sz w:val="24"/>
                <w:szCs w:val="24"/>
              </w:rPr>
            </w:pPr>
            <w:r>
              <w:rPr>
                <w:rFonts w:eastAsia="仿宋" w:cs="Times New Roman"/>
                <w:kern w:val="0"/>
                <w:sz w:val="24"/>
                <w:szCs w:val="24"/>
              </w:rPr>
              <w:t>　1</w:t>
            </w:r>
          </w:p>
        </w:tc>
      </w:tr>
      <w:tr w14:paraId="0D3C28C3">
        <w:tblPrEx>
          <w:tblCellMar>
            <w:top w:w="0" w:type="dxa"/>
            <w:left w:w="108" w:type="dxa"/>
            <w:bottom w:w="0" w:type="dxa"/>
            <w:right w:w="108" w:type="dxa"/>
          </w:tblCellMar>
        </w:tblPrEx>
        <w:trPr>
          <w:wBefore w:w="0" w:type="auto"/>
          <w:wAfter w:w="0" w:type="auto"/>
          <w:trHeight w:val="3656"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0B92E06D">
            <w:pPr>
              <w:widowControl/>
              <w:spacing w:line="280" w:lineRule="exact"/>
              <w:jc w:val="center"/>
              <w:rPr>
                <w:rFonts w:eastAsia="仿宋" w:cs="Times New Roman"/>
                <w:kern w:val="0"/>
                <w:sz w:val="24"/>
                <w:szCs w:val="24"/>
              </w:rPr>
            </w:pPr>
            <w:r>
              <w:rPr>
                <w:rFonts w:eastAsia="仿宋" w:cs="Times New Roman"/>
                <w:kern w:val="0"/>
                <w:sz w:val="24"/>
                <w:szCs w:val="24"/>
              </w:rPr>
              <w:t>产出</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39797554">
            <w:pPr>
              <w:widowControl/>
              <w:spacing w:line="280" w:lineRule="exact"/>
              <w:jc w:val="center"/>
              <w:rPr>
                <w:rFonts w:eastAsia="仿宋" w:cs="Times New Roman"/>
                <w:kern w:val="0"/>
                <w:sz w:val="24"/>
                <w:szCs w:val="24"/>
              </w:rPr>
            </w:pPr>
            <w:r>
              <w:rPr>
                <w:rFonts w:eastAsia="仿宋" w:cs="Times New Roman"/>
                <w:kern w:val="0"/>
                <w:sz w:val="24"/>
                <w:szCs w:val="24"/>
              </w:rPr>
              <w:t>职责</w:t>
            </w:r>
            <w:r>
              <w:rPr>
                <w:rFonts w:eastAsia="仿宋" w:cs="Times New Roman"/>
                <w:kern w:val="0"/>
                <w:sz w:val="24"/>
                <w:szCs w:val="24"/>
              </w:rPr>
              <w:br w:type="textWrapping"/>
            </w:r>
            <w:r>
              <w:rPr>
                <w:rFonts w:eastAsia="仿宋" w:cs="Times New Roman"/>
                <w:kern w:val="0"/>
                <w:sz w:val="24"/>
                <w:szCs w:val="24"/>
              </w:rPr>
              <w:t>履行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5098F896">
            <w:pPr>
              <w:widowControl/>
              <w:spacing w:line="280" w:lineRule="exact"/>
              <w:jc w:val="center"/>
              <w:rPr>
                <w:rFonts w:eastAsia="仿宋" w:cs="Times New Roman"/>
                <w:kern w:val="0"/>
                <w:sz w:val="24"/>
                <w:szCs w:val="24"/>
              </w:rPr>
            </w:pPr>
            <w:r>
              <w:rPr>
                <w:rFonts w:eastAsia="仿宋" w:cs="Times New Roman"/>
                <w:kern w:val="0"/>
                <w:sz w:val="24"/>
                <w:szCs w:val="24"/>
              </w:rPr>
              <w:t>30</w:t>
            </w:r>
          </w:p>
        </w:tc>
        <w:tc>
          <w:tcPr>
            <w:tcW w:w="676" w:type="dxa"/>
            <w:tcBorders>
              <w:top w:val="single" w:color="auto" w:sz="4" w:space="0"/>
              <w:left w:val="nil"/>
              <w:bottom w:val="single" w:color="auto" w:sz="4" w:space="0"/>
              <w:right w:val="single" w:color="auto" w:sz="4" w:space="0"/>
            </w:tcBorders>
            <w:noWrap w:val="0"/>
            <w:vAlign w:val="center"/>
          </w:tcPr>
          <w:p w14:paraId="6FC77627">
            <w:pPr>
              <w:widowControl/>
              <w:spacing w:line="280" w:lineRule="exact"/>
              <w:jc w:val="left"/>
              <w:rPr>
                <w:rFonts w:eastAsia="仿宋" w:cs="Times New Roman"/>
                <w:kern w:val="0"/>
                <w:sz w:val="24"/>
                <w:szCs w:val="24"/>
              </w:rPr>
            </w:pPr>
            <w:r>
              <w:rPr>
                <w:rFonts w:eastAsia="仿宋" w:cs="Times New Roman"/>
                <w:kern w:val="0"/>
                <w:sz w:val="24"/>
                <w:szCs w:val="24"/>
              </w:rPr>
              <w:t>实际完成率</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14:paraId="2299E206">
            <w:pPr>
              <w:widowControl/>
              <w:spacing w:line="280" w:lineRule="exact"/>
              <w:jc w:val="center"/>
              <w:rPr>
                <w:rFonts w:eastAsia="仿宋" w:cs="Times New Roman"/>
                <w:kern w:val="0"/>
                <w:sz w:val="24"/>
                <w:szCs w:val="24"/>
              </w:rPr>
            </w:pPr>
            <w:r>
              <w:rPr>
                <w:rFonts w:eastAsia="仿宋" w:cs="Times New Roman"/>
                <w:kern w:val="0"/>
                <w:sz w:val="24"/>
                <w:szCs w:val="24"/>
              </w:rPr>
              <w:t>24</w:t>
            </w:r>
          </w:p>
        </w:tc>
        <w:tc>
          <w:tcPr>
            <w:tcW w:w="3752" w:type="dxa"/>
            <w:tcBorders>
              <w:top w:val="single" w:color="auto" w:sz="4" w:space="0"/>
              <w:left w:val="nil"/>
              <w:bottom w:val="single" w:color="auto" w:sz="4" w:space="0"/>
              <w:right w:val="single" w:color="auto" w:sz="4" w:space="0"/>
            </w:tcBorders>
            <w:noWrap w:val="0"/>
            <w:vAlign w:val="center"/>
          </w:tcPr>
          <w:p w14:paraId="304BBE0A">
            <w:pPr>
              <w:widowControl/>
              <w:spacing w:line="280" w:lineRule="exact"/>
              <w:jc w:val="left"/>
              <w:rPr>
                <w:rFonts w:eastAsia="仿宋" w:cs="Times New Roman"/>
                <w:kern w:val="0"/>
                <w:sz w:val="24"/>
                <w:szCs w:val="24"/>
              </w:rPr>
            </w:pPr>
            <w:r>
              <w:rPr>
                <w:rFonts w:eastAsia="仿宋" w:cs="Times New Roman"/>
                <w:kern w:val="0"/>
                <w:sz w:val="24"/>
                <w:szCs w:val="24"/>
              </w:rPr>
              <w:t xml:space="preserve">  部门履行职责而实际完成工作数与计划工作数的比率，用以反映和考核部门履职工作任务目标的实现程度。</w:t>
            </w:r>
            <w:r>
              <w:rPr>
                <w:rFonts w:eastAsia="仿宋" w:cs="Times New Roman"/>
                <w:kern w:val="0"/>
                <w:sz w:val="24"/>
                <w:szCs w:val="24"/>
              </w:rPr>
              <w:br w:type="textWrapping"/>
            </w:r>
            <w:r>
              <w:rPr>
                <w:rFonts w:eastAsia="仿宋" w:cs="Times New Roman"/>
                <w:kern w:val="0"/>
                <w:sz w:val="24"/>
                <w:szCs w:val="24"/>
              </w:rPr>
              <w:t xml:space="preserve">  实际完成率=（实际完成工作数/计划工作数）×100%。</w:t>
            </w:r>
            <w:r>
              <w:rPr>
                <w:rFonts w:eastAsia="仿宋" w:cs="Times New Roman"/>
                <w:kern w:val="0"/>
                <w:sz w:val="24"/>
                <w:szCs w:val="24"/>
              </w:rPr>
              <w:br w:type="textWrapping"/>
            </w:r>
            <w:r>
              <w:rPr>
                <w:rFonts w:eastAsia="仿宋" w:cs="Times New Roman"/>
                <w:kern w:val="0"/>
                <w:sz w:val="24"/>
                <w:szCs w:val="24"/>
              </w:rPr>
              <w:t xml:space="preserve">  实际完成工作数：一定时期（年度或规划期）内部门实际完成工作任务的数量。</w:t>
            </w:r>
            <w:r>
              <w:rPr>
                <w:rFonts w:eastAsia="仿宋" w:cs="Times New Roman"/>
                <w:kern w:val="0"/>
                <w:sz w:val="24"/>
                <w:szCs w:val="24"/>
              </w:rPr>
              <w:br w:type="textWrapping"/>
            </w:r>
            <w:r>
              <w:rPr>
                <w:rFonts w:eastAsia="仿宋" w:cs="Times New Roman"/>
                <w:kern w:val="0"/>
                <w:sz w:val="24"/>
                <w:szCs w:val="24"/>
              </w:rPr>
              <w:t xml:space="preserve">  计划工作数：部门整体绩效目标确定的一定时期（年度或规划期）内预计完成工作任务的数量。</w:t>
            </w:r>
          </w:p>
        </w:tc>
        <w:tc>
          <w:tcPr>
            <w:tcW w:w="3036" w:type="dxa"/>
            <w:tcBorders>
              <w:top w:val="single" w:color="auto" w:sz="4" w:space="0"/>
              <w:left w:val="nil"/>
              <w:bottom w:val="single" w:color="auto" w:sz="4" w:space="0"/>
              <w:right w:val="single" w:color="auto" w:sz="4" w:space="0"/>
            </w:tcBorders>
            <w:noWrap w:val="0"/>
            <w:vAlign w:val="center"/>
          </w:tcPr>
          <w:p w14:paraId="3B215102">
            <w:pPr>
              <w:widowControl/>
              <w:spacing w:line="280" w:lineRule="exact"/>
              <w:jc w:val="left"/>
              <w:rPr>
                <w:rFonts w:eastAsia="仿宋" w:cs="Times New Roman"/>
                <w:kern w:val="0"/>
                <w:sz w:val="24"/>
                <w:szCs w:val="24"/>
              </w:rPr>
            </w:pPr>
            <w:r>
              <w:rPr>
                <w:rFonts w:eastAsia="仿宋" w:cs="Times New Roman"/>
                <w:kern w:val="0"/>
                <w:sz w:val="24"/>
                <w:szCs w:val="24"/>
              </w:rPr>
              <w:t>　</w:t>
            </w:r>
          </w:p>
        </w:tc>
        <w:tc>
          <w:tcPr>
            <w:tcW w:w="726" w:type="dxa"/>
            <w:vMerge w:val="restart"/>
            <w:tcBorders>
              <w:top w:val="single" w:color="auto" w:sz="4" w:space="0"/>
              <w:left w:val="nil"/>
              <w:right w:val="single" w:color="auto" w:sz="4" w:space="0"/>
            </w:tcBorders>
            <w:noWrap/>
            <w:vAlign w:val="center"/>
          </w:tcPr>
          <w:p w14:paraId="01ACE373">
            <w:pPr>
              <w:widowControl/>
              <w:jc w:val="left"/>
              <w:rPr>
                <w:rFonts w:eastAsia="仿宋" w:cs="Times New Roman"/>
                <w:kern w:val="0"/>
                <w:sz w:val="24"/>
                <w:szCs w:val="24"/>
              </w:rPr>
            </w:pPr>
            <w:r>
              <w:rPr>
                <w:rFonts w:eastAsia="仿宋" w:cs="Times New Roman"/>
                <w:kern w:val="0"/>
                <w:sz w:val="24"/>
                <w:szCs w:val="24"/>
              </w:rPr>
              <w:t>　24</w:t>
            </w:r>
          </w:p>
          <w:p w14:paraId="404D7CB2">
            <w:pPr>
              <w:widowControl/>
              <w:jc w:val="left"/>
              <w:rPr>
                <w:rFonts w:eastAsia="仿宋" w:cs="Times New Roman"/>
                <w:kern w:val="0"/>
                <w:sz w:val="24"/>
                <w:szCs w:val="24"/>
              </w:rPr>
            </w:pPr>
            <w:r>
              <w:rPr>
                <w:rFonts w:eastAsia="仿宋" w:cs="Times New Roman"/>
                <w:kern w:val="0"/>
                <w:sz w:val="24"/>
                <w:szCs w:val="24"/>
              </w:rPr>
              <w:t>　</w:t>
            </w:r>
          </w:p>
          <w:p w14:paraId="22BF3005">
            <w:pPr>
              <w:widowControl/>
              <w:jc w:val="left"/>
              <w:rPr>
                <w:rFonts w:eastAsia="仿宋" w:cs="Times New Roman"/>
                <w:kern w:val="0"/>
                <w:sz w:val="24"/>
                <w:szCs w:val="24"/>
              </w:rPr>
            </w:pPr>
            <w:r>
              <w:rPr>
                <w:rFonts w:eastAsia="仿宋" w:cs="Times New Roman"/>
                <w:kern w:val="0"/>
                <w:sz w:val="24"/>
                <w:szCs w:val="24"/>
              </w:rPr>
              <w:t>　</w:t>
            </w:r>
          </w:p>
        </w:tc>
      </w:tr>
      <w:tr w14:paraId="6B7434F2">
        <w:tblPrEx>
          <w:tblCellMar>
            <w:top w:w="0" w:type="dxa"/>
            <w:left w:w="108" w:type="dxa"/>
            <w:bottom w:w="0" w:type="dxa"/>
            <w:right w:w="108" w:type="dxa"/>
          </w:tblCellMar>
        </w:tblPrEx>
        <w:trPr>
          <w:wBefore w:w="0" w:type="auto"/>
          <w:wAfter w:w="0" w:type="auto"/>
          <w:trHeight w:val="2966"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752347E">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65252D5">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A6862AF">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03984E01">
            <w:pPr>
              <w:widowControl/>
              <w:spacing w:line="280" w:lineRule="exact"/>
              <w:jc w:val="left"/>
              <w:rPr>
                <w:rFonts w:eastAsia="仿宋" w:cs="Times New Roman"/>
                <w:kern w:val="0"/>
                <w:sz w:val="24"/>
                <w:szCs w:val="24"/>
              </w:rPr>
            </w:pPr>
            <w:r>
              <w:rPr>
                <w:rFonts w:eastAsia="仿宋" w:cs="Times New Roman"/>
                <w:kern w:val="0"/>
                <w:sz w:val="24"/>
                <w:szCs w:val="24"/>
              </w:rPr>
              <w:t>完成及时率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14:paraId="0B96FDAC">
            <w:pPr>
              <w:widowControl/>
              <w:spacing w:line="280" w:lineRule="exact"/>
              <w:jc w:val="left"/>
              <w:rPr>
                <w:rFonts w:eastAsia="仿宋" w:cs="Times New Roman"/>
                <w:kern w:val="0"/>
                <w:sz w:val="24"/>
                <w:szCs w:val="24"/>
              </w:rPr>
            </w:pPr>
          </w:p>
        </w:tc>
        <w:tc>
          <w:tcPr>
            <w:tcW w:w="3752" w:type="dxa"/>
            <w:tcBorders>
              <w:top w:val="single" w:color="auto" w:sz="4" w:space="0"/>
              <w:left w:val="nil"/>
              <w:bottom w:val="single" w:color="auto" w:sz="4" w:space="0"/>
              <w:right w:val="single" w:color="auto" w:sz="4" w:space="0"/>
            </w:tcBorders>
            <w:noWrap w:val="0"/>
            <w:vAlign w:val="center"/>
          </w:tcPr>
          <w:p w14:paraId="14F49185">
            <w:pPr>
              <w:widowControl/>
              <w:spacing w:line="280" w:lineRule="exact"/>
              <w:jc w:val="left"/>
              <w:rPr>
                <w:rFonts w:eastAsia="仿宋" w:cs="Times New Roman"/>
                <w:kern w:val="0"/>
                <w:sz w:val="24"/>
                <w:szCs w:val="24"/>
              </w:rPr>
            </w:pPr>
            <w:r>
              <w:rPr>
                <w:rFonts w:eastAsia="仿宋" w:cs="Times New Roman"/>
                <w:kern w:val="0"/>
                <w:sz w:val="24"/>
                <w:szCs w:val="24"/>
              </w:rPr>
              <w:t xml:space="preserve">  部门在规定时限内及时完成的实际工作数与计划工作数的比率,用以反映和考核部门履职时效目标的实现程度。</w:t>
            </w:r>
            <w:r>
              <w:rPr>
                <w:rFonts w:eastAsia="仿宋" w:cs="Times New Roman"/>
                <w:kern w:val="0"/>
                <w:sz w:val="24"/>
                <w:szCs w:val="24"/>
              </w:rPr>
              <w:br w:type="textWrapping"/>
            </w:r>
            <w:r>
              <w:rPr>
                <w:rFonts w:eastAsia="仿宋" w:cs="Times New Roman"/>
                <w:kern w:val="0"/>
                <w:sz w:val="24"/>
                <w:szCs w:val="24"/>
              </w:rPr>
              <w:t xml:space="preserve">  完成及时率=（及时完成实际工作数/计划工作数）×100%。</w:t>
            </w:r>
            <w:r>
              <w:rPr>
                <w:rFonts w:eastAsia="仿宋" w:cs="Times New Roman"/>
                <w:kern w:val="0"/>
                <w:sz w:val="24"/>
                <w:szCs w:val="24"/>
              </w:rPr>
              <w:br w:type="textWrapping"/>
            </w:r>
            <w:r>
              <w:rPr>
                <w:rFonts w:eastAsia="仿宋" w:cs="Times New Roman"/>
                <w:kern w:val="0"/>
                <w:sz w:val="24"/>
                <w:szCs w:val="24"/>
              </w:rPr>
              <w:t xml:space="preserve">  及时完成实际工作数：部门按照整体绩效目标确定的时限实际完成的工作任务数量。</w:t>
            </w:r>
          </w:p>
        </w:tc>
        <w:tc>
          <w:tcPr>
            <w:tcW w:w="3036" w:type="dxa"/>
            <w:tcBorders>
              <w:top w:val="single" w:color="auto" w:sz="4" w:space="0"/>
              <w:left w:val="nil"/>
              <w:bottom w:val="single" w:color="auto" w:sz="4" w:space="0"/>
              <w:right w:val="single" w:color="auto" w:sz="4" w:space="0"/>
            </w:tcBorders>
            <w:noWrap w:val="0"/>
            <w:vAlign w:val="center"/>
          </w:tcPr>
          <w:p w14:paraId="26557814">
            <w:pPr>
              <w:widowControl/>
              <w:spacing w:line="280" w:lineRule="exact"/>
              <w:jc w:val="left"/>
              <w:rPr>
                <w:rFonts w:eastAsia="仿宋" w:cs="Times New Roman"/>
                <w:kern w:val="0"/>
                <w:sz w:val="24"/>
                <w:szCs w:val="24"/>
              </w:rPr>
            </w:pPr>
            <w:r>
              <w:rPr>
                <w:rFonts w:eastAsia="仿宋" w:cs="Times New Roman"/>
                <w:kern w:val="0"/>
                <w:sz w:val="24"/>
                <w:szCs w:val="24"/>
              </w:rPr>
              <w:t>　</w:t>
            </w:r>
          </w:p>
        </w:tc>
        <w:tc>
          <w:tcPr>
            <w:tcW w:w="726" w:type="dxa"/>
            <w:vMerge w:val="continue"/>
            <w:tcBorders>
              <w:left w:val="nil"/>
              <w:right w:val="single" w:color="auto" w:sz="4" w:space="0"/>
            </w:tcBorders>
            <w:noWrap/>
            <w:vAlign w:val="center"/>
          </w:tcPr>
          <w:p w14:paraId="0DC86BAE">
            <w:pPr>
              <w:widowControl/>
              <w:jc w:val="left"/>
              <w:rPr>
                <w:rFonts w:eastAsia="仿宋" w:cs="Times New Roman"/>
                <w:kern w:val="0"/>
                <w:sz w:val="24"/>
                <w:szCs w:val="24"/>
              </w:rPr>
            </w:pPr>
          </w:p>
        </w:tc>
      </w:tr>
      <w:tr w14:paraId="047BE778">
        <w:tblPrEx>
          <w:tblCellMar>
            <w:top w:w="0" w:type="dxa"/>
            <w:left w:w="108" w:type="dxa"/>
            <w:bottom w:w="0" w:type="dxa"/>
            <w:right w:w="108" w:type="dxa"/>
          </w:tblCellMar>
        </w:tblPrEx>
        <w:trPr>
          <w:wBefore w:w="0" w:type="auto"/>
          <w:wAfter w:w="0" w:type="auto"/>
          <w:trHeight w:val="3248"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1BD14726">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658CA1C">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81FA205">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06889A25">
            <w:pPr>
              <w:widowControl/>
              <w:spacing w:line="280" w:lineRule="exact"/>
              <w:jc w:val="left"/>
              <w:rPr>
                <w:rFonts w:eastAsia="仿宋" w:cs="Times New Roman"/>
                <w:kern w:val="0"/>
                <w:sz w:val="24"/>
                <w:szCs w:val="24"/>
              </w:rPr>
            </w:pPr>
            <w:r>
              <w:rPr>
                <w:rFonts w:eastAsia="仿宋" w:cs="Times New Roman"/>
                <w:kern w:val="0"/>
                <w:sz w:val="24"/>
                <w:szCs w:val="24"/>
              </w:rPr>
              <w:t>质量达标率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14:paraId="1A633E97">
            <w:pPr>
              <w:widowControl/>
              <w:spacing w:line="280" w:lineRule="exact"/>
              <w:jc w:val="left"/>
              <w:rPr>
                <w:rFonts w:eastAsia="仿宋" w:cs="Times New Roman"/>
                <w:kern w:val="0"/>
                <w:sz w:val="24"/>
                <w:szCs w:val="24"/>
              </w:rPr>
            </w:pPr>
          </w:p>
        </w:tc>
        <w:tc>
          <w:tcPr>
            <w:tcW w:w="3752" w:type="dxa"/>
            <w:tcBorders>
              <w:top w:val="single" w:color="auto" w:sz="4" w:space="0"/>
              <w:left w:val="nil"/>
              <w:bottom w:val="single" w:color="auto" w:sz="4" w:space="0"/>
              <w:right w:val="single" w:color="auto" w:sz="4" w:space="0"/>
            </w:tcBorders>
            <w:noWrap w:val="0"/>
            <w:vAlign w:val="center"/>
          </w:tcPr>
          <w:p w14:paraId="5FADFB2C">
            <w:pPr>
              <w:widowControl/>
              <w:spacing w:line="280" w:lineRule="exact"/>
              <w:jc w:val="left"/>
              <w:rPr>
                <w:rFonts w:eastAsia="仿宋" w:cs="Times New Roman"/>
                <w:kern w:val="0"/>
                <w:sz w:val="24"/>
                <w:szCs w:val="24"/>
              </w:rPr>
            </w:pPr>
            <w:r>
              <w:rPr>
                <w:rFonts w:eastAsia="仿宋" w:cs="Times New Roman"/>
                <w:kern w:val="0"/>
                <w:sz w:val="24"/>
                <w:szCs w:val="24"/>
              </w:rPr>
              <w:t xml:space="preserve">  达到质量标准（绩效标准值）的实际工作数与计划工作数的比率,用以反映和考核部门履职质量目标的实现程度。</w:t>
            </w:r>
            <w:r>
              <w:rPr>
                <w:rFonts w:eastAsia="仿宋" w:cs="Times New Roman"/>
                <w:kern w:val="0"/>
                <w:sz w:val="24"/>
                <w:szCs w:val="24"/>
              </w:rPr>
              <w:br w:type="textWrapping"/>
            </w:r>
            <w:r>
              <w:rPr>
                <w:rFonts w:eastAsia="仿宋" w:cs="Times New Roman"/>
                <w:kern w:val="0"/>
                <w:sz w:val="24"/>
                <w:szCs w:val="24"/>
              </w:rPr>
              <w:t xml:space="preserve">  质量达标率=（质量达标实际工作数/计划工作数）×100%。</w:t>
            </w:r>
            <w:r>
              <w:rPr>
                <w:rFonts w:eastAsia="仿宋" w:cs="Times New Roman"/>
                <w:kern w:val="0"/>
                <w:sz w:val="24"/>
                <w:szCs w:val="24"/>
              </w:rPr>
              <w:br w:type="textWrapping"/>
            </w:r>
            <w:r>
              <w:rPr>
                <w:rFonts w:eastAsia="仿宋" w:cs="Times New Roman"/>
                <w:kern w:val="0"/>
                <w:sz w:val="24"/>
                <w:szCs w:val="24"/>
              </w:rPr>
              <w:t xml:space="preserve">  质量达标实际工作数：一定时期（年度或规划期）内部门实际完成工作数中达到部门绩效目标要求（绩效标准值）的工作任务数量。</w:t>
            </w:r>
          </w:p>
        </w:tc>
        <w:tc>
          <w:tcPr>
            <w:tcW w:w="3036" w:type="dxa"/>
            <w:tcBorders>
              <w:top w:val="single" w:color="auto" w:sz="4" w:space="0"/>
              <w:left w:val="nil"/>
              <w:bottom w:val="single" w:color="auto" w:sz="4" w:space="0"/>
              <w:right w:val="single" w:color="auto" w:sz="4" w:space="0"/>
            </w:tcBorders>
            <w:noWrap w:val="0"/>
            <w:vAlign w:val="center"/>
          </w:tcPr>
          <w:p w14:paraId="37FD6978">
            <w:pPr>
              <w:widowControl/>
              <w:spacing w:line="280" w:lineRule="exact"/>
              <w:jc w:val="left"/>
              <w:rPr>
                <w:rFonts w:eastAsia="仿宋" w:cs="Times New Roman"/>
                <w:kern w:val="0"/>
                <w:sz w:val="24"/>
                <w:szCs w:val="24"/>
              </w:rPr>
            </w:pPr>
            <w:r>
              <w:rPr>
                <w:rFonts w:eastAsia="仿宋" w:cs="Times New Roman"/>
                <w:kern w:val="0"/>
                <w:sz w:val="24"/>
                <w:szCs w:val="24"/>
              </w:rPr>
              <w:t>　</w:t>
            </w:r>
          </w:p>
        </w:tc>
        <w:tc>
          <w:tcPr>
            <w:tcW w:w="726" w:type="dxa"/>
            <w:vMerge w:val="continue"/>
            <w:tcBorders>
              <w:left w:val="nil"/>
              <w:bottom w:val="single" w:color="auto" w:sz="4" w:space="0"/>
              <w:right w:val="single" w:color="auto" w:sz="4" w:space="0"/>
            </w:tcBorders>
            <w:noWrap/>
            <w:vAlign w:val="center"/>
          </w:tcPr>
          <w:p w14:paraId="6AB209D3">
            <w:pPr>
              <w:widowControl/>
              <w:jc w:val="left"/>
              <w:rPr>
                <w:rFonts w:eastAsia="仿宋" w:cs="Times New Roman"/>
                <w:kern w:val="0"/>
                <w:sz w:val="24"/>
                <w:szCs w:val="24"/>
              </w:rPr>
            </w:pPr>
          </w:p>
        </w:tc>
      </w:tr>
      <w:tr w14:paraId="24A2C4BA">
        <w:tblPrEx>
          <w:tblCellMar>
            <w:top w:w="0" w:type="dxa"/>
            <w:left w:w="108" w:type="dxa"/>
            <w:bottom w:w="0" w:type="dxa"/>
            <w:right w:w="108" w:type="dxa"/>
          </w:tblCellMar>
        </w:tblPrEx>
        <w:trPr>
          <w:wBefore w:w="0" w:type="auto"/>
          <w:wAfter w:w="0" w:type="auto"/>
          <w:trHeight w:val="2544"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B46883A">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4329D3E">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D558A65">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4AD3C747">
            <w:pPr>
              <w:widowControl/>
              <w:spacing w:line="280" w:lineRule="exact"/>
              <w:jc w:val="left"/>
              <w:rPr>
                <w:rFonts w:eastAsia="仿宋" w:cs="Times New Roman"/>
                <w:kern w:val="0"/>
                <w:sz w:val="24"/>
                <w:szCs w:val="24"/>
              </w:rPr>
            </w:pPr>
            <w:r>
              <w:rPr>
                <w:rFonts w:eastAsia="仿宋" w:cs="Times New Roman"/>
                <w:kern w:val="0"/>
                <w:sz w:val="24"/>
                <w:szCs w:val="24"/>
              </w:rPr>
              <w:t>重点工作办结率</w:t>
            </w:r>
          </w:p>
        </w:tc>
        <w:tc>
          <w:tcPr>
            <w:tcW w:w="516" w:type="dxa"/>
            <w:tcBorders>
              <w:top w:val="single" w:color="auto" w:sz="4" w:space="0"/>
              <w:left w:val="nil"/>
              <w:bottom w:val="single" w:color="auto" w:sz="4" w:space="0"/>
              <w:right w:val="single" w:color="auto" w:sz="4" w:space="0"/>
            </w:tcBorders>
            <w:noWrap w:val="0"/>
            <w:vAlign w:val="center"/>
          </w:tcPr>
          <w:p w14:paraId="12EF8CE2">
            <w:pPr>
              <w:widowControl/>
              <w:spacing w:line="280" w:lineRule="exact"/>
              <w:jc w:val="center"/>
              <w:rPr>
                <w:rFonts w:eastAsia="仿宋" w:cs="Times New Roman"/>
                <w:kern w:val="0"/>
                <w:sz w:val="24"/>
                <w:szCs w:val="24"/>
              </w:rPr>
            </w:pPr>
            <w:r>
              <w:rPr>
                <w:rFonts w:eastAsia="仿宋" w:cs="Times New Roman"/>
                <w:kern w:val="0"/>
                <w:sz w:val="24"/>
                <w:szCs w:val="24"/>
              </w:rPr>
              <w:t>6</w:t>
            </w:r>
          </w:p>
        </w:tc>
        <w:tc>
          <w:tcPr>
            <w:tcW w:w="3752" w:type="dxa"/>
            <w:tcBorders>
              <w:top w:val="single" w:color="auto" w:sz="4" w:space="0"/>
              <w:left w:val="nil"/>
              <w:bottom w:val="single" w:color="auto" w:sz="4" w:space="0"/>
              <w:right w:val="single" w:color="auto" w:sz="4" w:space="0"/>
            </w:tcBorders>
            <w:noWrap w:val="0"/>
            <w:vAlign w:val="center"/>
          </w:tcPr>
          <w:p w14:paraId="2B618009">
            <w:pPr>
              <w:widowControl/>
              <w:spacing w:line="280" w:lineRule="exact"/>
              <w:jc w:val="left"/>
              <w:rPr>
                <w:rFonts w:eastAsia="仿宋" w:cs="Times New Roman"/>
                <w:kern w:val="0"/>
                <w:sz w:val="24"/>
                <w:szCs w:val="24"/>
              </w:rPr>
            </w:pPr>
            <w:r>
              <w:rPr>
                <w:rFonts w:eastAsia="仿宋" w:cs="Times New Roman"/>
                <w:kern w:val="0"/>
                <w:sz w:val="24"/>
                <w:szCs w:val="24"/>
              </w:rPr>
              <w:t xml:space="preserve">  部门年度重点工作实际完成数与交办或下达数的比率，用以反映部门对重点工作的办理落实程度。</w:t>
            </w:r>
            <w:r>
              <w:rPr>
                <w:rFonts w:eastAsia="仿宋" w:cs="Times New Roman"/>
                <w:kern w:val="0"/>
                <w:sz w:val="24"/>
                <w:szCs w:val="24"/>
              </w:rPr>
              <w:br w:type="textWrapping"/>
            </w:r>
            <w:r>
              <w:rPr>
                <w:rFonts w:eastAsia="仿宋" w:cs="Times New Roman"/>
                <w:kern w:val="0"/>
                <w:sz w:val="24"/>
                <w:szCs w:val="24"/>
              </w:rPr>
              <w:t xml:space="preserve">  重点工作办结率=（重点工作实际完成数/交办或下达数）×100%。</w:t>
            </w:r>
            <w:r>
              <w:rPr>
                <w:rFonts w:eastAsia="仿宋" w:cs="Times New Roman"/>
                <w:kern w:val="0"/>
                <w:sz w:val="24"/>
                <w:szCs w:val="24"/>
              </w:rPr>
              <w:br w:type="textWrapping"/>
            </w:r>
            <w:r>
              <w:rPr>
                <w:rFonts w:eastAsia="仿宋" w:cs="Times New Roman"/>
                <w:kern w:val="0"/>
                <w:sz w:val="24"/>
                <w:szCs w:val="24"/>
              </w:rPr>
              <w:t xml:space="preserve">  重点工作是指党委、政府、人大、相关部门交办或下达的工作任务。</w:t>
            </w:r>
          </w:p>
        </w:tc>
        <w:tc>
          <w:tcPr>
            <w:tcW w:w="3036" w:type="dxa"/>
            <w:tcBorders>
              <w:top w:val="single" w:color="auto" w:sz="4" w:space="0"/>
              <w:left w:val="nil"/>
              <w:bottom w:val="single" w:color="auto" w:sz="4" w:space="0"/>
              <w:right w:val="single" w:color="auto" w:sz="4" w:space="0"/>
            </w:tcBorders>
            <w:noWrap w:val="0"/>
            <w:vAlign w:val="center"/>
          </w:tcPr>
          <w:p w14:paraId="45911035">
            <w:pPr>
              <w:widowControl/>
              <w:spacing w:line="280" w:lineRule="exact"/>
              <w:jc w:val="center"/>
              <w:rPr>
                <w:rFonts w:eastAsia="仿宋" w:cs="Times New Roman"/>
                <w:kern w:val="0"/>
                <w:sz w:val="24"/>
                <w:szCs w:val="24"/>
              </w:rPr>
            </w:pPr>
          </w:p>
        </w:tc>
        <w:tc>
          <w:tcPr>
            <w:tcW w:w="726" w:type="dxa"/>
            <w:tcBorders>
              <w:top w:val="single" w:color="auto" w:sz="4" w:space="0"/>
              <w:left w:val="nil"/>
              <w:bottom w:val="single" w:color="auto" w:sz="4" w:space="0"/>
              <w:right w:val="single" w:color="auto" w:sz="4" w:space="0"/>
            </w:tcBorders>
            <w:noWrap/>
            <w:vAlign w:val="center"/>
          </w:tcPr>
          <w:p w14:paraId="17CE7E27">
            <w:pPr>
              <w:widowControl/>
              <w:jc w:val="center"/>
              <w:rPr>
                <w:rFonts w:eastAsia="仿宋" w:cs="Times New Roman"/>
                <w:kern w:val="0"/>
                <w:sz w:val="24"/>
                <w:szCs w:val="24"/>
              </w:rPr>
            </w:pPr>
            <w:r>
              <w:rPr>
                <w:rFonts w:eastAsia="仿宋" w:cs="Times New Roman"/>
                <w:kern w:val="0"/>
                <w:sz w:val="24"/>
                <w:szCs w:val="24"/>
              </w:rPr>
              <w:t>6</w:t>
            </w:r>
          </w:p>
        </w:tc>
      </w:tr>
      <w:tr w14:paraId="19914C97">
        <w:tblPrEx>
          <w:tblCellMar>
            <w:top w:w="0" w:type="dxa"/>
            <w:left w:w="108" w:type="dxa"/>
            <w:bottom w:w="0" w:type="dxa"/>
            <w:right w:w="108" w:type="dxa"/>
          </w:tblCellMar>
        </w:tblPrEx>
        <w:trPr>
          <w:wBefore w:w="0" w:type="auto"/>
          <w:wAfter w:w="0" w:type="auto"/>
          <w:trHeight w:val="2404"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26D26CBF">
            <w:pPr>
              <w:widowControl/>
              <w:spacing w:line="280" w:lineRule="exact"/>
              <w:jc w:val="center"/>
              <w:rPr>
                <w:rFonts w:eastAsia="仿宋" w:cs="Times New Roman"/>
                <w:kern w:val="0"/>
                <w:sz w:val="24"/>
                <w:szCs w:val="24"/>
              </w:rPr>
            </w:pPr>
            <w:r>
              <w:rPr>
                <w:rFonts w:eastAsia="仿宋" w:cs="Times New Roman"/>
                <w:kern w:val="0"/>
                <w:sz w:val="24"/>
                <w:szCs w:val="24"/>
              </w:rPr>
              <w:t>效果</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62111508">
            <w:pPr>
              <w:widowControl/>
              <w:spacing w:line="280" w:lineRule="exact"/>
              <w:jc w:val="center"/>
              <w:rPr>
                <w:rFonts w:eastAsia="仿宋" w:cs="Times New Roman"/>
                <w:kern w:val="0"/>
                <w:sz w:val="24"/>
                <w:szCs w:val="24"/>
              </w:rPr>
            </w:pPr>
            <w:r>
              <w:rPr>
                <w:rFonts w:eastAsia="仿宋" w:cs="Times New Roman"/>
                <w:kern w:val="0"/>
                <w:sz w:val="24"/>
                <w:szCs w:val="24"/>
              </w:rPr>
              <w:t>履职</w:t>
            </w:r>
            <w:r>
              <w:rPr>
                <w:rFonts w:eastAsia="仿宋" w:cs="Times New Roman"/>
                <w:kern w:val="0"/>
                <w:sz w:val="24"/>
                <w:szCs w:val="24"/>
              </w:rPr>
              <w:br w:type="textWrapping"/>
            </w:r>
            <w:r>
              <w:rPr>
                <w:rFonts w:eastAsia="仿宋" w:cs="Times New Roman"/>
                <w:kern w:val="0"/>
                <w:sz w:val="24"/>
                <w:szCs w:val="24"/>
              </w:rPr>
              <w:t>效益</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12CCEFC8">
            <w:pPr>
              <w:widowControl/>
              <w:spacing w:line="280" w:lineRule="exact"/>
              <w:jc w:val="center"/>
              <w:rPr>
                <w:rFonts w:eastAsia="仿宋" w:cs="Times New Roman"/>
                <w:kern w:val="0"/>
                <w:sz w:val="24"/>
                <w:szCs w:val="24"/>
              </w:rPr>
            </w:pPr>
            <w:r>
              <w:rPr>
                <w:rFonts w:eastAsia="仿宋" w:cs="Times New Roman"/>
                <w:kern w:val="0"/>
                <w:sz w:val="24"/>
                <w:szCs w:val="24"/>
              </w:rPr>
              <w:t>30</w:t>
            </w:r>
          </w:p>
        </w:tc>
        <w:tc>
          <w:tcPr>
            <w:tcW w:w="676" w:type="dxa"/>
            <w:tcBorders>
              <w:top w:val="single" w:color="auto" w:sz="4" w:space="0"/>
              <w:left w:val="nil"/>
              <w:bottom w:val="single" w:color="auto" w:sz="4" w:space="0"/>
              <w:right w:val="nil"/>
            </w:tcBorders>
            <w:noWrap/>
            <w:vAlign w:val="center"/>
          </w:tcPr>
          <w:p w14:paraId="7E8BC636">
            <w:pPr>
              <w:widowControl/>
              <w:spacing w:line="280" w:lineRule="exact"/>
              <w:rPr>
                <w:rFonts w:eastAsia="仿宋" w:cs="Times New Roman"/>
                <w:color w:val="000000"/>
                <w:kern w:val="0"/>
                <w:sz w:val="24"/>
                <w:szCs w:val="24"/>
              </w:rPr>
            </w:pPr>
            <w:r>
              <w:rPr>
                <w:rFonts w:eastAsia="仿宋" w:cs="Times New Roman"/>
                <w:color w:val="000000"/>
                <w:kern w:val="0"/>
                <w:sz w:val="24"/>
                <w:szCs w:val="24"/>
              </w:rPr>
              <w:t>实施效益</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3BE79A7A">
            <w:pPr>
              <w:widowControl/>
              <w:spacing w:line="280" w:lineRule="exact"/>
              <w:jc w:val="center"/>
              <w:rPr>
                <w:rFonts w:eastAsia="仿宋" w:cs="Times New Roman"/>
                <w:kern w:val="0"/>
                <w:sz w:val="24"/>
                <w:szCs w:val="24"/>
              </w:rPr>
            </w:pPr>
            <w:r>
              <w:rPr>
                <w:rFonts w:eastAsia="仿宋" w:cs="Times New Roman"/>
                <w:kern w:val="0"/>
                <w:sz w:val="24"/>
                <w:szCs w:val="24"/>
              </w:rPr>
              <w:t>22</w:t>
            </w:r>
          </w:p>
        </w:tc>
        <w:tc>
          <w:tcPr>
            <w:tcW w:w="3752" w:type="dxa"/>
            <w:tcBorders>
              <w:top w:val="single" w:color="auto" w:sz="4" w:space="0"/>
              <w:left w:val="nil"/>
              <w:bottom w:val="single" w:color="auto" w:sz="4" w:space="0"/>
              <w:right w:val="single" w:color="auto" w:sz="4" w:space="0"/>
            </w:tcBorders>
            <w:noWrap w:val="0"/>
            <w:vAlign w:val="center"/>
          </w:tcPr>
          <w:p w14:paraId="46E1FBA6">
            <w:pPr>
              <w:widowControl/>
              <w:spacing w:line="280" w:lineRule="exact"/>
              <w:jc w:val="left"/>
              <w:rPr>
                <w:rFonts w:eastAsia="仿宋" w:cs="Times New Roman"/>
                <w:kern w:val="0"/>
                <w:sz w:val="24"/>
                <w:szCs w:val="24"/>
              </w:rPr>
            </w:pPr>
            <w:r>
              <w:rPr>
                <w:rFonts w:eastAsia="仿宋" w:cs="Times New Roman"/>
                <w:kern w:val="0"/>
                <w:sz w:val="24"/>
                <w:szCs w:val="24"/>
              </w:rPr>
              <w:t xml:space="preserve">  部门履行职责对经济发展、社会发展和生态环境等所带来的直接或间接影响。</w:t>
            </w:r>
          </w:p>
        </w:tc>
        <w:tc>
          <w:tcPr>
            <w:tcW w:w="3036" w:type="dxa"/>
            <w:tcBorders>
              <w:top w:val="single" w:color="auto" w:sz="4" w:space="0"/>
              <w:left w:val="nil"/>
              <w:bottom w:val="single" w:color="auto" w:sz="4" w:space="0"/>
              <w:right w:val="single" w:color="auto" w:sz="4" w:space="0"/>
            </w:tcBorders>
            <w:noWrap w:val="0"/>
            <w:vAlign w:val="center"/>
          </w:tcPr>
          <w:p w14:paraId="45257832">
            <w:pPr>
              <w:widowControl/>
              <w:spacing w:line="280" w:lineRule="exact"/>
              <w:jc w:val="left"/>
              <w:rPr>
                <w:rFonts w:eastAsia="仿宋" w:cs="Times New Roman"/>
                <w:kern w:val="0"/>
                <w:sz w:val="24"/>
                <w:szCs w:val="24"/>
              </w:rPr>
            </w:pPr>
            <w:r>
              <w:rPr>
                <w:rFonts w:eastAsia="仿宋" w:cs="Times New Roman"/>
                <w:kern w:val="0"/>
                <w:sz w:val="24"/>
                <w:szCs w:val="24"/>
              </w:rPr>
              <w:t>此指标为设置部门整体支出绩效评价指标时必须考虑的共性要素，可根据部门实际并结合部门整体支出绩效目标设立情况有选择的进行设置，并将其细化为相应的个性化指标。</w:t>
            </w:r>
          </w:p>
        </w:tc>
        <w:tc>
          <w:tcPr>
            <w:tcW w:w="726" w:type="dxa"/>
            <w:tcBorders>
              <w:top w:val="single" w:color="auto" w:sz="4" w:space="0"/>
              <w:left w:val="nil"/>
              <w:bottom w:val="single" w:color="auto" w:sz="4" w:space="0"/>
              <w:right w:val="single" w:color="auto" w:sz="4" w:space="0"/>
            </w:tcBorders>
            <w:noWrap/>
            <w:vAlign w:val="center"/>
          </w:tcPr>
          <w:p w14:paraId="24E21633">
            <w:pPr>
              <w:widowControl/>
              <w:jc w:val="left"/>
              <w:rPr>
                <w:rFonts w:eastAsia="仿宋" w:cs="Times New Roman"/>
                <w:kern w:val="0"/>
                <w:sz w:val="24"/>
                <w:szCs w:val="24"/>
              </w:rPr>
            </w:pPr>
            <w:r>
              <w:rPr>
                <w:rFonts w:eastAsia="仿宋" w:cs="Times New Roman"/>
                <w:kern w:val="0"/>
                <w:sz w:val="24"/>
                <w:szCs w:val="24"/>
              </w:rPr>
              <w:t>　22</w:t>
            </w:r>
          </w:p>
        </w:tc>
      </w:tr>
      <w:tr w14:paraId="490766CE">
        <w:tblPrEx>
          <w:tblCellMar>
            <w:top w:w="0" w:type="dxa"/>
            <w:left w:w="108" w:type="dxa"/>
            <w:bottom w:w="0" w:type="dxa"/>
            <w:right w:w="108" w:type="dxa"/>
          </w:tblCellMar>
        </w:tblPrEx>
        <w:trPr>
          <w:wBefore w:w="0" w:type="auto"/>
          <w:wAfter w:w="0" w:type="auto"/>
          <w:trHeight w:val="111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6E10AAC9">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9E44987">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C0F7B23">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32DED2B3">
            <w:pPr>
              <w:widowControl/>
              <w:spacing w:line="280" w:lineRule="exact"/>
              <w:jc w:val="left"/>
              <w:rPr>
                <w:rFonts w:eastAsia="仿宋" w:cs="Times New Roman"/>
                <w:kern w:val="0"/>
                <w:sz w:val="24"/>
                <w:szCs w:val="24"/>
              </w:rPr>
            </w:pPr>
            <w:r>
              <w:rPr>
                <w:rFonts w:eastAsia="仿宋" w:cs="Times New Roman"/>
                <w:kern w:val="0"/>
                <w:sz w:val="24"/>
                <w:szCs w:val="24"/>
              </w:rPr>
              <w:t>行政效能</w:t>
            </w:r>
          </w:p>
        </w:tc>
        <w:tc>
          <w:tcPr>
            <w:tcW w:w="516" w:type="dxa"/>
            <w:tcBorders>
              <w:top w:val="single" w:color="auto" w:sz="4" w:space="0"/>
              <w:left w:val="nil"/>
              <w:bottom w:val="single" w:color="auto" w:sz="4" w:space="0"/>
              <w:right w:val="single" w:color="auto" w:sz="4" w:space="0"/>
            </w:tcBorders>
            <w:noWrap w:val="0"/>
            <w:vAlign w:val="center"/>
          </w:tcPr>
          <w:p w14:paraId="5132D027">
            <w:pPr>
              <w:widowControl/>
              <w:spacing w:line="280" w:lineRule="exact"/>
              <w:jc w:val="center"/>
              <w:rPr>
                <w:rFonts w:eastAsia="仿宋" w:cs="Times New Roman"/>
                <w:kern w:val="0"/>
                <w:sz w:val="24"/>
                <w:szCs w:val="24"/>
              </w:rPr>
            </w:pPr>
            <w:r>
              <w:rPr>
                <w:rFonts w:eastAsia="仿宋" w:cs="Times New Roman"/>
                <w:kern w:val="0"/>
                <w:sz w:val="24"/>
                <w:szCs w:val="24"/>
              </w:rPr>
              <w:t>3</w:t>
            </w:r>
          </w:p>
        </w:tc>
        <w:tc>
          <w:tcPr>
            <w:tcW w:w="3752" w:type="dxa"/>
            <w:tcBorders>
              <w:top w:val="single" w:color="auto" w:sz="4" w:space="0"/>
              <w:left w:val="nil"/>
              <w:bottom w:val="single" w:color="auto" w:sz="4" w:space="0"/>
              <w:right w:val="single" w:color="auto" w:sz="4" w:space="0"/>
            </w:tcBorders>
            <w:noWrap w:val="0"/>
            <w:vAlign w:val="center"/>
          </w:tcPr>
          <w:p w14:paraId="498083C9">
            <w:pPr>
              <w:widowControl/>
              <w:spacing w:line="280" w:lineRule="exact"/>
              <w:jc w:val="left"/>
              <w:rPr>
                <w:rFonts w:eastAsia="仿宋" w:cs="Times New Roman"/>
                <w:kern w:val="0"/>
                <w:sz w:val="24"/>
                <w:szCs w:val="24"/>
              </w:rPr>
            </w:pPr>
            <w:r>
              <w:rPr>
                <w:rFonts w:eastAsia="仿宋" w:cs="Times New Roman"/>
                <w:kern w:val="0"/>
                <w:sz w:val="24"/>
                <w:szCs w:val="24"/>
              </w:rPr>
              <w:t xml:space="preserve">  政府对机关工作实施情况的具体评价，以年度政府考核结果为依据。</w:t>
            </w:r>
          </w:p>
        </w:tc>
        <w:tc>
          <w:tcPr>
            <w:tcW w:w="3036" w:type="dxa"/>
            <w:tcBorders>
              <w:top w:val="single" w:color="auto" w:sz="4" w:space="0"/>
              <w:left w:val="nil"/>
              <w:bottom w:val="single" w:color="auto" w:sz="4" w:space="0"/>
              <w:right w:val="single" w:color="auto" w:sz="4" w:space="0"/>
            </w:tcBorders>
            <w:noWrap w:val="0"/>
            <w:vAlign w:val="center"/>
          </w:tcPr>
          <w:p w14:paraId="231DB1F9">
            <w:pPr>
              <w:widowControl/>
              <w:spacing w:line="280" w:lineRule="exact"/>
              <w:jc w:val="left"/>
              <w:rPr>
                <w:rFonts w:eastAsia="仿宋" w:cs="Times New Roman"/>
                <w:kern w:val="0"/>
                <w:sz w:val="24"/>
                <w:szCs w:val="24"/>
              </w:rPr>
            </w:pPr>
            <w:r>
              <w:rPr>
                <w:rFonts w:eastAsia="仿宋" w:cs="Times New Roman"/>
                <w:kern w:val="0"/>
                <w:sz w:val="24"/>
                <w:szCs w:val="24"/>
              </w:rPr>
              <w:t>优秀计3分，良好计2分，合格计1分，不合格计0分。</w:t>
            </w:r>
          </w:p>
        </w:tc>
        <w:tc>
          <w:tcPr>
            <w:tcW w:w="726" w:type="dxa"/>
            <w:tcBorders>
              <w:top w:val="single" w:color="auto" w:sz="4" w:space="0"/>
              <w:left w:val="nil"/>
              <w:bottom w:val="single" w:color="auto" w:sz="4" w:space="0"/>
              <w:right w:val="single" w:color="auto" w:sz="4" w:space="0"/>
            </w:tcBorders>
            <w:noWrap/>
            <w:vAlign w:val="center"/>
          </w:tcPr>
          <w:p w14:paraId="12B7EA0A">
            <w:pPr>
              <w:widowControl/>
              <w:jc w:val="left"/>
              <w:rPr>
                <w:rFonts w:eastAsia="仿宋" w:cs="Times New Roman"/>
                <w:kern w:val="0"/>
                <w:sz w:val="24"/>
                <w:szCs w:val="24"/>
              </w:rPr>
            </w:pPr>
            <w:r>
              <w:rPr>
                <w:rFonts w:eastAsia="仿宋" w:cs="Times New Roman"/>
                <w:kern w:val="0"/>
                <w:sz w:val="24"/>
                <w:szCs w:val="24"/>
              </w:rPr>
              <w:t>　3</w:t>
            </w:r>
          </w:p>
        </w:tc>
      </w:tr>
      <w:tr w14:paraId="1A8A7014">
        <w:tblPrEx>
          <w:tblCellMar>
            <w:top w:w="0" w:type="dxa"/>
            <w:left w:w="108" w:type="dxa"/>
            <w:bottom w:w="0" w:type="dxa"/>
            <w:right w:w="108" w:type="dxa"/>
          </w:tblCellMar>
        </w:tblPrEx>
        <w:trPr>
          <w:wBefore w:w="0" w:type="auto"/>
          <w:wAfter w:w="0" w:type="auto"/>
          <w:trHeight w:val="240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06FB8410">
            <w:pPr>
              <w:widowControl/>
              <w:spacing w:line="280" w:lineRule="exact"/>
              <w:jc w:val="left"/>
              <w:rPr>
                <w:rFonts w:eastAsia="仿宋" w:cs="Times New Roman"/>
                <w:kern w:val="0"/>
                <w:sz w:val="24"/>
                <w:szCs w:val="24"/>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5C6E6FDD">
            <w:pPr>
              <w:widowControl/>
              <w:spacing w:line="280" w:lineRule="exact"/>
              <w:jc w:val="left"/>
              <w:rPr>
                <w:rFonts w:eastAsia="仿宋" w:cs="Times New Roman"/>
                <w:kern w:val="0"/>
                <w:sz w:val="24"/>
                <w:szCs w:val="24"/>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0B23BA3">
            <w:pPr>
              <w:widowControl/>
              <w:spacing w:line="280" w:lineRule="exact"/>
              <w:jc w:val="left"/>
              <w:rPr>
                <w:rFonts w:eastAsia="仿宋" w:cs="Times New Roman"/>
                <w:kern w:val="0"/>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7F1F1745">
            <w:pPr>
              <w:widowControl/>
              <w:spacing w:line="280" w:lineRule="exact"/>
              <w:jc w:val="left"/>
              <w:rPr>
                <w:rFonts w:eastAsia="仿宋" w:cs="Times New Roman"/>
                <w:kern w:val="0"/>
                <w:sz w:val="24"/>
                <w:szCs w:val="24"/>
              </w:rPr>
            </w:pPr>
            <w:r>
              <w:rPr>
                <w:rFonts w:eastAsia="仿宋" w:cs="Times New Roman"/>
                <w:kern w:val="0"/>
                <w:sz w:val="24"/>
                <w:szCs w:val="24"/>
              </w:rPr>
              <w:t>社会公众或服务对象满意度</w:t>
            </w:r>
          </w:p>
        </w:tc>
        <w:tc>
          <w:tcPr>
            <w:tcW w:w="516" w:type="dxa"/>
            <w:tcBorders>
              <w:top w:val="single" w:color="auto" w:sz="4" w:space="0"/>
              <w:left w:val="nil"/>
              <w:bottom w:val="single" w:color="auto" w:sz="4" w:space="0"/>
              <w:right w:val="single" w:color="auto" w:sz="4" w:space="0"/>
            </w:tcBorders>
            <w:noWrap w:val="0"/>
            <w:vAlign w:val="center"/>
          </w:tcPr>
          <w:p w14:paraId="7FA208B5">
            <w:pPr>
              <w:widowControl/>
              <w:spacing w:line="280" w:lineRule="exact"/>
              <w:jc w:val="center"/>
              <w:rPr>
                <w:rFonts w:eastAsia="仿宋" w:cs="Times New Roman"/>
                <w:kern w:val="0"/>
                <w:sz w:val="24"/>
                <w:szCs w:val="24"/>
              </w:rPr>
            </w:pPr>
            <w:r>
              <w:rPr>
                <w:rFonts w:eastAsia="仿宋" w:cs="Times New Roman"/>
                <w:kern w:val="0"/>
                <w:sz w:val="24"/>
                <w:szCs w:val="24"/>
              </w:rPr>
              <w:t>5</w:t>
            </w:r>
          </w:p>
        </w:tc>
        <w:tc>
          <w:tcPr>
            <w:tcW w:w="3752" w:type="dxa"/>
            <w:tcBorders>
              <w:top w:val="single" w:color="auto" w:sz="4" w:space="0"/>
              <w:left w:val="nil"/>
              <w:bottom w:val="single" w:color="auto" w:sz="4" w:space="0"/>
              <w:right w:val="single" w:color="auto" w:sz="4" w:space="0"/>
            </w:tcBorders>
            <w:noWrap w:val="0"/>
            <w:vAlign w:val="center"/>
          </w:tcPr>
          <w:p w14:paraId="65E48237">
            <w:pPr>
              <w:widowControl/>
              <w:spacing w:line="280" w:lineRule="exact"/>
              <w:jc w:val="left"/>
              <w:rPr>
                <w:rFonts w:eastAsia="仿宋" w:cs="Times New Roman"/>
                <w:kern w:val="0"/>
                <w:sz w:val="24"/>
                <w:szCs w:val="24"/>
              </w:rPr>
            </w:pPr>
            <w:r>
              <w:rPr>
                <w:rFonts w:eastAsia="仿宋" w:cs="Times New Roman"/>
                <w:kern w:val="0"/>
                <w:sz w:val="24"/>
                <w:szCs w:val="24"/>
              </w:rPr>
              <w:t xml:space="preserve">  社会公众或部门的服务对象对部门履职效果的满意程度。</w:t>
            </w:r>
            <w:r>
              <w:rPr>
                <w:rFonts w:eastAsia="仿宋" w:cs="Times New Roman"/>
                <w:kern w:val="0"/>
                <w:sz w:val="24"/>
                <w:szCs w:val="24"/>
              </w:rPr>
              <w:br w:type="textWrapping"/>
            </w:r>
            <w:r>
              <w:rPr>
                <w:rFonts w:eastAsia="仿宋" w:cs="Times New Roman"/>
                <w:kern w:val="0"/>
                <w:sz w:val="24"/>
                <w:szCs w:val="24"/>
              </w:rPr>
              <w:t xml:space="preserve">  社会公众或服务对象是指部门履行职责而影响到的部门、群体或个人。</w:t>
            </w:r>
          </w:p>
        </w:tc>
        <w:tc>
          <w:tcPr>
            <w:tcW w:w="3036" w:type="dxa"/>
            <w:tcBorders>
              <w:top w:val="single" w:color="auto" w:sz="4" w:space="0"/>
              <w:left w:val="nil"/>
              <w:bottom w:val="single" w:color="auto" w:sz="4" w:space="0"/>
              <w:right w:val="single" w:color="auto" w:sz="4" w:space="0"/>
            </w:tcBorders>
            <w:noWrap w:val="0"/>
            <w:vAlign w:val="center"/>
          </w:tcPr>
          <w:p w14:paraId="5724876C">
            <w:pPr>
              <w:widowControl/>
              <w:spacing w:line="280" w:lineRule="exact"/>
              <w:jc w:val="left"/>
              <w:rPr>
                <w:rFonts w:eastAsia="仿宋" w:cs="Times New Roman"/>
                <w:kern w:val="0"/>
                <w:sz w:val="24"/>
                <w:szCs w:val="24"/>
              </w:rPr>
            </w:pPr>
            <w:r>
              <w:rPr>
                <w:rFonts w:eastAsia="仿宋" w:cs="Times New Roman"/>
                <w:kern w:val="0"/>
                <w:sz w:val="24"/>
                <w:szCs w:val="24"/>
              </w:rPr>
              <w:t>≥90%，得5分；</w:t>
            </w:r>
            <w:r>
              <w:rPr>
                <w:rFonts w:eastAsia="仿宋" w:cs="Times New Roman"/>
                <w:kern w:val="0"/>
                <w:sz w:val="24"/>
                <w:szCs w:val="24"/>
              </w:rPr>
              <w:br w:type="textWrapping"/>
            </w:r>
            <w:r>
              <w:rPr>
                <w:rFonts w:eastAsia="仿宋" w:cs="Times New Roman"/>
                <w:kern w:val="0"/>
                <w:sz w:val="24"/>
                <w:szCs w:val="24"/>
              </w:rPr>
              <w:t>每降低1%，扣0.5分，扣完为止。</w:t>
            </w:r>
          </w:p>
        </w:tc>
        <w:tc>
          <w:tcPr>
            <w:tcW w:w="726" w:type="dxa"/>
            <w:tcBorders>
              <w:top w:val="single" w:color="auto" w:sz="4" w:space="0"/>
              <w:left w:val="nil"/>
              <w:bottom w:val="single" w:color="auto" w:sz="4" w:space="0"/>
              <w:right w:val="single" w:color="auto" w:sz="4" w:space="0"/>
            </w:tcBorders>
            <w:noWrap/>
            <w:vAlign w:val="center"/>
          </w:tcPr>
          <w:p w14:paraId="605F721E">
            <w:pPr>
              <w:widowControl/>
              <w:jc w:val="left"/>
              <w:rPr>
                <w:rFonts w:eastAsia="仿宋" w:cs="Times New Roman"/>
                <w:kern w:val="0"/>
                <w:sz w:val="24"/>
                <w:szCs w:val="24"/>
              </w:rPr>
            </w:pPr>
            <w:r>
              <w:rPr>
                <w:rFonts w:eastAsia="仿宋" w:cs="Times New Roman"/>
                <w:kern w:val="0"/>
                <w:sz w:val="24"/>
                <w:szCs w:val="24"/>
              </w:rPr>
              <w:t>　5</w:t>
            </w:r>
          </w:p>
        </w:tc>
      </w:tr>
      <w:tr w14:paraId="115A8DC4">
        <w:tblPrEx>
          <w:tblCellMar>
            <w:top w:w="0" w:type="dxa"/>
            <w:left w:w="108" w:type="dxa"/>
            <w:bottom w:w="0" w:type="dxa"/>
            <w:right w:w="108" w:type="dxa"/>
          </w:tblCellMar>
        </w:tblPrEx>
        <w:trPr>
          <w:wBefore w:w="0" w:type="auto"/>
          <w:wAfter w:w="0" w:type="auto"/>
          <w:trHeight w:val="853" w:hRule="atLeast"/>
          <w:jc w:val="center"/>
        </w:trPr>
        <w:tc>
          <w:tcPr>
            <w:tcW w:w="1369" w:type="dxa"/>
            <w:gridSpan w:val="2"/>
            <w:tcBorders>
              <w:top w:val="single" w:color="auto" w:sz="4" w:space="0"/>
              <w:left w:val="single" w:color="auto" w:sz="4" w:space="0"/>
              <w:bottom w:val="single" w:color="auto" w:sz="4" w:space="0"/>
              <w:right w:val="single" w:color="auto" w:sz="4" w:space="0"/>
            </w:tcBorders>
            <w:noWrap w:val="0"/>
            <w:vAlign w:val="center"/>
          </w:tcPr>
          <w:p w14:paraId="4F2EF6F5">
            <w:pPr>
              <w:widowControl/>
              <w:spacing w:line="280" w:lineRule="exact"/>
              <w:jc w:val="center"/>
              <w:rPr>
                <w:rFonts w:eastAsia="仿宋" w:cs="Times New Roman"/>
                <w:b/>
                <w:bCs/>
                <w:kern w:val="0"/>
                <w:sz w:val="24"/>
                <w:szCs w:val="24"/>
              </w:rPr>
            </w:pPr>
            <w:r>
              <w:rPr>
                <w:rFonts w:eastAsia="仿宋" w:cs="Times New Roman"/>
                <w:b/>
                <w:bCs/>
                <w:kern w:val="0"/>
                <w:sz w:val="24"/>
                <w:szCs w:val="24"/>
              </w:rPr>
              <w:t>合计</w:t>
            </w:r>
          </w:p>
        </w:tc>
        <w:tc>
          <w:tcPr>
            <w:tcW w:w="548" w:type="dxa"/>
            <w:tcBorders>
              <w:top w:val="single" w:color="auto" w:sz="4" w:space="0"/>
              <w:left w:val="single" w:color="auto" w:sz="4" w:space="0"/>
              <w:bottom w:val="single" w:color="auto" w:sz="4" w:space="0"/>
              <w:right w:val="single" w:color="auto" w:sz="4" w:space="0"/>
            </w:tcBorders>
            <w:noWrap/>
            <w:vAlign w:val="center"/>
          </w:tcPr>
          <w:p w14:paraId="3EEE90DA">
            <w:pPr>
              <w:widowControl/>
              <w:spacing w:line="280" w:lineRule="exact"/>
              <w:jc w:val="center"/>
              <w:rPr>
                <w:rFonts w:eastAsia="仿宋" w:cs="Times New Roman"/>
                <w:b/>
                <w:bCs/>
                <w:kern w:val="0"/>
                <w:sz w:val="24"/>
                <w:szCs w:val="24"/>
              </w:rPr>
            </w:pPr>
            <w:r>
              <w:rPr>
                <w:rFonts w:eastAsia="仿宋" w:cs="Times New Roman"/>
                <w:b/>
                <w:bCs/>
                <w:kern w:val="0"/>
                <w:sz w:val="24"/>
                <w:szCs w:val="24"/>
              </w:rPr>
              <w:t>100</w:t>
            </w:r>
          </w:p>
        </w:tc>
        <w:tc>
          <w:tcPr>
            <w:tcW w:w="676" w:type="dxa"/>
            <w:tcBorders>
              <w:top w:val="single" w:color="auto" w:sz="4" w:space="0"/>
              <w:left w:val="single" w:color="auto" w:sz="4" w:space="0"/>
              <w:bottom w:val="single" w:color="auto" w:sz="4" w:space="0"/>
              <w:right w:val="single" w:color="auto" w:sz="4" w:space="0"/>
            </w:tcBorders>
            <w:noWrap/>
            <w:vAlign w:val="center"/>
          </w:tcPr>
          <w:p w14:paraId="6066C645">
            <w:pPr>
              <w:widowControl/>
              <w:spacing w:line="280" w:lineRule="exact"/>
              <w:jc w:val="center"/>
              <w:rPr>
                <w:rFonts w:eastAsia="仿宋" w:cs="Times New Roman"/>
                <w:b/>
                <w:bCs/>
                <w:kern w:val="0"/>
                <w:sz w:val="24"/>
                <w:szCs w:val="24"/>
              </w:rPr>
            </w:pPr>
            <w:r>
              <w:rPr>
                <w:rFonts w:eastAsia="仿宋" w:cs="Times New Roman"/>
                <w:b/>
                <w:bCs/>
                <w:kern w:val="0"/>
                <w:sz w:val="24"/>
                <w:szCs w:val="24"/>
              </w:rPr>
              <w:t>　</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37037F6D">
            <w:pPr>
              <w:widowControl/>
              <w:spacing w:line="280" w:lineRule="exact"/>
              <w:jc w:val="center"/>
              <w:rPr>
                <w:rFonts w:eastAsia="仿宋" w:cs="Times New Roman"/>
                <w:b/>
                <w:bCs/>
                <w:kern w:val="0"/>
                <w:sz w:val="24"/>
                <w:szCs w:val="24"/>
              </w:rPr>
            </w:pPr>
            <w:r>
              <w:rPr>
                <w:rFonts w:eastAsia="仿宋" w:cs="Times New Roman"/>
                <w:b/>
                <w:bCs/>
                <w:kern w:val="0"/>
                <w:sz w:val="24"/>
                <w:szCs w:val="24"/>
              </w:rPr>
              <w:t>100</w:t>
            </w:r>
          </w:p>
        </w:tc>
        <w:tc>
          <w:tcPr>
            <w:tcW w:w="3752" w:type="dxa"/>
            <w:tcBorders>
              <w:top w:val="single" w:color="auto" w:sz="4" w:space="0"/>
              <w:left w:val="single" w:color="auto" w:sz="4" w:space="0"/>
              <w:bottom w:val="single" w:color="auto" w:sz="4" w:space="0"/>
              <w:right w:val="single" w:color="auto" w:sz="4" w:space="0"/>
            </w:tcBorders>
            <w:noWrap/>
            <w:vAlign w:val="center"/>
          </w:tcPr>
          <w:p w14:paraId="0A3DE636">
            <w:pPr>
              <w:widowControl/>
              <w:spacing w:line="280" w:lineRule="exact"/>
              <w:jc w:val="left"/>
              <w:rPr>
                <w:rFonts w:eastAsia="仿宋" w:cs="Times New Roman"/>
                <w:b/>
                <w:bCs/>
                <w:kern w:val="0"/>
                <w:sz w:val="24"/>
                <w:szCs w:val="24"/>
              </w:rPr>
            </w:pPr>
            <w:r>
              <w:rPr>
                <w:rFonts w:eastAsia="仿宋" w:cs="Times New Roman"/>
                <w:b/>
                <w:bCs/>
                <w:kern w:val="0"/>
                <w:sz w:val="24"/>
                <w:szCs w:val="24"/>
              </w:rPr>
              <w:t>　</w:t>
            </w:r>
          </w:p>
        </w:tc>
        <w:tc>
          <w:tcPr>
            <w:tcW w:w="3036" w:type="dxa"/>
            <w:tcBorders>
              <w:top w:val="single" w:color="auto" w:sz="4" w:space="0"/>
              <w:left w:val="single" w:color="auto" w:sz="4" w:space="0"/>
              <w:bottom w:val="single" w:color="auto" w:sz="4" w:space="0"/>
              <w:right w:val="single" w:color="auto" w:sz="4" w:space="0"/>
            </w:tcBorders>
            <w:noWrap/>
            <w:vAlign w:val="center"/>
          </w:tcPr>
          <w:p w14:paraId="2D4F4220">
            <w:pPr>
              <w:widowControl/>
              <w:spacing w:line="280" w:lineRule="exact"/>
              <w:jc w:val="left"/>
              <w:rPr>
                <w:rFonts w:eastAsia="仿宋" w:cs="Times New Roman"/>
                <w:b/>
                <w:bCs/>
                <w:kern w:val="0"/>
                <w:sz w:val="24"/>
                <w:szCs w:val="24"/>
              </w:rPr>
            </w:pPr>
            <w:r>
              <w:rPr>
                <w:rFonts w:eastAsia="仿宋" w:cs="Times New Roman"/>
                <w:b/>
                <w:bCs/>
                <w:kern w:val="0"/>
                <w:sz w:val="24"/>
                <w:szCs w:val="24"/>
              </w:rPr>
              <w:t>　</w:t>
            </w:r>
          </w:p>
        </w:tc>
        <w:tc>
          <w:tcPr>
            <w:tcW w:w="726" w:type="dxa"/>
            <w:tcBorders>
              <w:top w:val="single" w:color="auto" w:sz="4" w:space="0"/>
              <w:left w:val="single" w:color="auto" w:sz="4" w:space="0"/>
              <w:bottom w:val="single" w:color="auto" w:sz="4" w:space="0"/>
              <w:right w:val="single" w:color="auto" w:sz="4" w:space="0"/>
            </w:tcBorders>
            <w:noWrap/>
            <w:vAlign w:val="center"/>
          </w:tcPr>
          <w:p w14:paraId="54B4828D">
            <w:pPr>
              <w:widowControl/>
              <w:jc w:val="left"/>
              <w:rPr>
                <w:rFonts w:eastAsia="仿宋" w:cs="Times New Roman"/>
                <w:b/>
                <w:bCs/>
                <w:kern w:val="0"/>
                <w:sz w:val="24"/>
                <w:szCs w:val="24"/>
              </w:rPr>
            </w:pPr>
            <w:r>
              <w:rPr>
                <w:rFonts w:eastAsia="仿宋" w:cs="Times New Roman"/>
                <w:b/>
                <w:bCs/>
                <w:kern w:val="0"/>
                <w:sz w:val="24"/>
                <w:szCs w:val="24"/>
              </w:rPr>
              <w:t>97</w:t>
            </w:r>
          </w:p>
        </w:tc>
      </w:tr>
    </w:tbl>
    <w:p w14:paraId="6ABF11D0">
      <w:pPr>
        <w:widowControl/>
        <w:ind w:firstLine="480" w:firstLineChars="200"/>
        <w:jc w:val="left"/>
        <w:rPr>
          <w:rFonts w:cs="Times New Roman"/>
          <w:color w:val="000000"/>
          <w:sz w:val="24"/>
          <w:szCs w:val="24"/>
        </w:rPr>
      </w:pPr>
    </w:p>
    <w:p w14:paraId="3CFEDE2E">
      <w:pPr>
        <w:spacing w:line="520" w:lineRule="exact"/>
        <w:ind w:left="1" w:leftChars="-202" w:hanging="425" w:hangingChars="133"/>
        <w:rPr>
          <w:rFonts w:hint="eastAsia" w:eastAsia="黑体" w:cs="Times New Roman"/>
          <w:bCs/>
          <w:color w:val="000000"/>
          <w:kern w:val="0"/>
          <w:sz w:val="32"/>
          <w:szCs w:val="32"/>
          <w:lang w:bidi="ar"/>
        </w:rPr>
      </w:pPr>
    </w:p>
    <w:p w14:paraId="2F8946D6">
      <w:pPr>
        <w:spacing w:line="520" w:lineRule="exact"/>
        <w:ind w:left="1" w:leftChars="-202" w:hanging="425" w:hangingChars="133"/>
        <w:rPr>
          <w:rFonts w:hint="eastAsia" w:eastAsia="黑体" w:cs="Times New Roman"/>
          <w:bCs/>
          <w:color w:val="000000"/>
          <w:kern w:val="0"/>
          <w:sz w:val="32"/>
          <w:szCs w:val="32"/>
          <w:lang w:bidi="ar"/>
        </w:rPr>
      </w:pPr>
    </w:p>
    <w:p w14:paraId="74130D84">
      <w:pPr>
        <w:spacing w:line="520" w:lineRule="exact"/>
        <w:ind w:left="1" w:leftChars="-202" w:hanging="425" w:hangingChars="133"/>
        <w:rPr>
          <w:rFonts w:hint="eastAsia" w:eastAsia="黑体" w:cs="Times New Roman"/>
          <w:bCs/>
          <w:color w:val="000000"/>
          <w:kern w:val="0"/>
          <w:sz w:val="32"/>
          <w:szCs w:val="32"/>
          <w:lang w:bidi="ar"/>
        </w:rPr>
      </w:pPr>
    </w:p>
    <w:p w14:paraId="5B827B69">
      <w:pPr>
        <w:spacing w:line="520" w:lineRule="exact"/>
        <w:ind w:left="1" w:leftChars="-202" w:hanging="425" w:hangingChars="133"/>
        <w:rPr>
          <w:rFonts w:hint="eastAsia" w:eastAsia="黑体" w:cs="Times New Roman"/>
          <w:bCs/>
          <w:color w:val="000000"/>
          <w:kern w:val="0"/>
          <w:sz w:val="32"/>
          <w:szCs w:val="32"/>
          <w:lang w:bidi="ar"/>
        </w:rPr>
      </w:pPr>
    </w:p>
    <w:p w14:paraId="20F02A3F">
      <w:pPr>
        <w:spacing w:line="520" w:lineRule="exact"/>
        <w:ind w:left="1" w:leftChars="-202" w:hanging="425" w:hangingChars="133"/>
        <w:rPr>
          <w:rFonts w:hint="eastAsia" w:eastAsia="黑体" w:cs="Times New Roman"/>
          <w:bCs/>
          <w:color w:val="000000"/>
          <w:kern w:val="0"/>
          <w:sz w:val="32"/>
          <w:szCs w:val="32"/>
          <w:lang w:bidi="ar"/>
        </w:rPr>
      </w:pPr>
    </w:p>
    <w:p w14:paraId="4892E218">
      <w:pPr>
        <w:spacing w:line="520" w:lineRule="exact"/>
        <w:ind w:left="1" w:leftChars="-202" w:hanging="425" w:hangingChars="133"/>
        <w:rPr>
          <w:rFonts w:hint="eastAsia" w:eastAsia="黑体" w:cs="Times New Roman"/>
          <w:bCs/>
          <w:color w:val="000000"/>
          <w:kern w:val="0"/>
          <w:sz w:val="32"/>
          <w:szCs w:val="32"/>
          <w:lang w:bidi="ar"/>
        </w:rPr>
      </w:pPr>
    </w:p>
    <w:p w14:paraId="4816BEF7">
      <w:pPr>
        <w:spacing w:line="520" w:lineRule="exact"/>
        <w:ind w:left="1" w:leftChars="-202" w:hanging="425" w:hangingChars="133"/>
        <w:rPr>
          <w:rFonts w:hint="eastAsia" w:eastAsia="黑体" w:cs="Times New Roman"/>
          <w:bCs/>
          <w:color w:val="000000"/>
          <w:kern w:val="0"/>
          <w:sz w:val="32"/>
          <w:szCs w:val="32"/>
          <w:lang w:bidi="ar"/>
        </w:rPr>
      </w:pPr>
    </w:p>
    <w:p w14:paraId="499DB285">
      <w:pPr>
        <w:spacing w:line="520" w:lineRule="exact"/>
        <w:ind w:left="1" w:leftChars="-202" w:hanging="425" w:hangingChars="133"/>
        <w:rPr>
          <w:rFonts w:hint="eastAsia" w:eastAsia="黑体" w:cs="Times New Roman"/>
          <w:bCs/>
          <w:color w:val="000000"/>
          <w:kern w:val="0"/>
          <w:sz w:val="32"/>
          <w:szCs w:val="32"/>
          <w:lang w:bidi="ar"/>
        </w:rPr>
      </w:pPr>
    </w:p>
    <w:p w14:paraId="161FD507">
      <w:pPr>
        <w:spacing w:line="520" w:lineRule="exact"/>
        <w:ind w:left="1" w:leftChars="-202" w:hanging="425" w:hangingChars="133"/>
        <w:rPr>
          <w:rFonts w:hint="eastAsia" w:eastAsia="黑体" w:cs="Times New Roman"/>
          <w:bCs/>
          <w:color w:val="000000"/>
          <w:kern w:val="0"/>
          <w:sz w:val="32"/>
          <w:szCs w:val="32"/>
          <w:lang w:bidi="ar"/>
        </w:rPr>
      </w:pPr>
    </w:p>
    <w:p w14:paraId="6ED004CE">
      <w:pPr>
        <w:spacing w:line="520" w:lineRule="exact"/>
        <w:ind w:left="1" w:leftChars="-202" w:hanging="425" w:hangingChars="133"/>
        <w:rPr>
          <w:rFonts w:hint="eastAsia" w:eastAsia="黑体" w:cs="Times New Roman"/>
          <w:bCs/>
          <w:color w:val="000000"/>
          <w:kern w:val="0"/>
          <w:sz w:val="32"/>
          <w:szCs w:val="32"/>
          <w:lang w:bidi="ar"/>
        </w:rPr>
      </w:pPr>
    </w:p>
    <w:p w14:paraId="4191756B">
      <w:pPr>
        <w:spacing w:line="520" w:lineRule="exact"/>
        <w:ind w:left="1" w:leftChars="-202" w:hanging="425" w:hangingChars="133"/>
        <w:rPr>
          <w:rFonts w:hint="eastAsia" w:eastAsia="黑体" w:cs="Times New Roman"/>
          <w:bCs/>
          <w:color w:val="000000"/>
          <w:kern w:val="0"/>
          <w:sz w:val="32"/>
          <w:szCs w:val="32"/>
          <w:lang w:bidi="ar"/>
        </w:rPr>
      </w:pPr>
    </w:p>
    <w:p w14:paraId="5EF3222F">
      <w:pPr>
        <w:spacing w:line="520" w:lineRule="exact"/>
        <w:ind w:left="1" w:leftChars="-202" w:hanging="425" w:hangingChars="133"/>
        <w:rPr>
          <w:rFonts w:hint="eastAsia" w:eastAsia="黑体" w:cs="Times New Roman"/>
          <w:bCs/>
          <w:color w:val="000000"/>
          <w:kern w:val="0"/>
          <w:sz w:val="32"/>
          <w:szCs w:val="32"/>
          <w:lang w:bidi="ar"/>
        </w:rPr>
      </w:pPr>
    </w:p>
    <w:p w14:paraId="2BCAAC35">
      <w:pPr>
        <w:spacing w:line="520" w:lineRule="exact"/>
        <w:ind w:left="1" w:leftChars="-202" w:hanging="425" w:hangingChars="133"/>
        <w:rPr>
          <w:rFonts w:hint="eastAsia" w:eastAsia="黑体" w:cs="Times New Roman"/>
          <w:bCs/>
          <w:color w:val="000000"/>
          <w:kern w:val="0"/>
          <w:sz w:val="32"/>
          <w:szCs w:val="32"/>
          <w:lang w:bidi="ar"/>
        </w:rPr>
      </w:pPr>
    </w:p>
    <w:p w14:paraId="503E387A">
      <w:pPr>
        <w:spacing w:line="520" w:lineRule="exact"/>
        <w:ind w:left="1" w:leftChars="-202" w:hanging="425" w:hangingChars="133"/>
        <w:rPr>
          <w:rFonts w:hint="eastAsia" w:eastAsia="黑体" w:cs="Times New Roman"/>
          <w:bCs/>
          <w:color w:val="000000"/>
          <w:kern w:val="0"/>
          <w:sz w:val="32"/>
          <w:szCs w:val="32"/>
          <w:lang w:bidi="ar"/>
        </w:rPr>
      </w:pPr>
    </w:p>
    <w:p w14:paraId="38AF2A5B">
      <w:pPr>
        <w:spacing w:line="520" w:lineRule="exact"/>
        <w:ind w:left="1" w:leftChars="-202" w:hanging="425" w:hangingChars="133"/>
        <w:rPr>
          <w:rFonts w:hint="eastAsia" w:eastAsia="黑体" w:cs="Times New Roman"/>
          <w:bCs/>
          <w:color w:val="000000"/>
          <w:kern w:val="0"/>
          <w:sz w:val="32"/>
          <w:szCs w:val="32"/>
          <w:lang w:bidi="ar"/>
        </w:rPr>
      </w:pPr>
    </w:p>
    <w:p w14:paraId="72B29884">
      <w:pPr>
        <w:spacing w:line="520" w:lineRule="exact"/>
        <w:ind w:left="1" w:leftChars="-202" w:hanging="425" w:hangingChars="133"/>
        <w:rPr>
          <w:rFonts w:eastAsia="黑体" w:cs="Times New Roman"/>
          <w:bCs/>
          <w:color w:val="000000"/>
          <w:kern w:val="0"/>
          <w:sz w:val="32"/>
          <w:szCs w:val="32"/>
          <w:lang w:bidi="ar"/>
        </w:rPr>
      </w:pPr>
      <w:r>
        <w:rPr>
          <w:rFonts w:eastAsia="黑体" w:cs="Times New Roman"/>
          <w:bCs/>
          <w:color w:val="000000"/>
          <w:kern w:val="0"/>
          <w:sz w:val="32"/>
          <w:szCs w:val="32"/>
          <w:lang w:bidi="ar"/>
        </w:rPr>
        <w:t>附件2</w:t>
      </w:r>
    </w:p>
    <w:p w14:paraId="58367537">
      <w:pPr>
        <w:spacing w:line="520" w:lineRule="exact"/>
        <w:jc w:val="center"/>
        <w:rPr>
          <w:rFonts w:eastAsia="方正小标宋简体" w:cs="Times New Roman"/>
          <w:bCs/>
          <w:color w:val="000000"/>
          <w:kern w:val="0"/>
          <w:sz w:val="44"/>
          <w:szCs w:val="44"/>
          <w:lang w:bidi="ar"/>
        </w:rPr>
      </w:pPr>
    </w:p>
    <w:p w14:paraId="7F89C7D4">
      <w:pPr>
        <w:spacing w:line="520" w:lineRule="exact"/>
        <w:jc w:val="center"/>
        <w:rPr>
          <w:rFonts w:eastAsia="仿宋" w:cs="Times New Roman"/>
          <w:sz w:val="32"/>
          <w:szCs w:val="32"/>
        </w:rPr>
      </w:pPr>
      <w:r>
        <w:rPr>
          <w:rFonts w:eastAsia="方正小标宋简体" w:cs="Times New Roman"/>
          <w:bCs/>
          <w:color w:val="000000"/>
          <w:kern w:val="0"/>
          <w:sz w:val="44"/>
          <w:szCs w:val="44"/>
          <w:lang w:bidi="ar"/>
        </w:rPr>
        <w:t>部门整体支出绩效评价基础数据表</w:t>
      </w:r>
    </w:p>
    <w:p w14:paraId="688913BB">
      <w:pPr>
        <w:widowControl/>
        <w:spacing w:line="560" w:lineRule="exact"/>
        <w:rPr>
          <w:rFonts w:eastAsia="仿宋_GB2312" w:cs="Times New Roman"/>
          <w:bCs/>
          <w:color w:val="000000"/>
          <w:sz w:val="32"/>
          <w:szCs w:val="32"/>
        </w:rPr>
      </w:pPr>
    </w:p>
    <w:tbl>
      <w:tblPr>
        <w:tblStyle w:val="17"/>
        <w:tblW w:w="9786" w:type="dxa"/>
        <w:jc w:val="center"/>
        <w:tblLayout w:type="autofit"/>
        <w:tblCellMar>
          <w:top w:w="0" w:type="dxa"/>
          <w:left w:w="108" w:type="dxa"/>
          <w:bottom w:w="0" w:type="dxa"/>
          <w:right w:w="108" w:type="dxa"/>
        </w:tblCellMar>
      </w:tblPr>
      <w:tblGrid>
        <w:gridCol w:w="3036"/>
        <w:gridCol w:w="1818"/>
        <w:gridCol w:w="930"/>
        <w:gridCol w:w="930"/>
        <w:gridCol w:w="884"/>
        <w:gridCol w:w="660"/>
        <w:gridCol w:w="809"/>
        <w:gridCol w:w="719"/>
      </w:tblGrid>
      <w:tr w14:paraId="1AD6F039">
        <w:tblPrEx>
          <w:tblCellMar>
            <w:top w:w="0" w:type="dxa"/>
            <w:left w:w="108" w:type="dxa"/>
            <w:bottom w:w="0" w:type="dxa"/>
            <w:right w:w="108" w:type="dxa"/>
          </w:tblCellMar>
        </w:tblPrEx>
        <w:trPr>
          <w:wBefore w:w="0" w:type="dxa"/>
          <w:wAfter w:w="0" w:type="dxa"/>
          <w:trHeight w:val="460" w:hRule="atLeast"/>
          <w:jc w:val="center"/>
        </w:trPr>
        <w:tc>
          <w:tcPr>
            <w:tcW w:w="5784" w:type="dxa"/>
            <w:gridSpan w:val="3"/>
            <w:tcBorders>
              <w:top w:val="nil"/>
              <w:left w:val="nil"/>
              <w:bottom w:val="single" w:color="000000" w:sz="4" w:space="0"/>
              <w:right w:val="nil"/>
            </w:tcBorders>
            <w:noWrap w:val="0"/>
            <w:vAlign w:val="center"/>
          </w:tcPr>
          <w:p w14:paraId="1EC64F23">
            <w:pPr>
              <w:widowControl/>
              <w:jc w:val="left"/>
              <w:textAlignment w:val="center"/>
              <w:rPr>
                <w:rFonts w:eastAsia="楷体" w:cs="Times New Roman"/>
                <w:color w:val="000000"/>
                <w:sz w:val="30"/>
                <w:szCs w:val="30"/>
              </w:rPr>
            </w:pPr>
            <w:r>
              <w:rPr>
                <w:rFonts w:eastAsia="楷体" w:cs="Times New Roman"/>
                <w:color w:val="000000"/>
                <w:kern w:val="0"/>
                <w:sz w:val="30"/>
                <w:szCs w:val="30"/>
                <w:lang w:bidi="ar"/>
              </w:rPr>
              <w:t>单位名称：武陵区人大</w:t>
            </w:r>
          </w:p>
        </w:tc>
        <w:tc>
          <w:tcPr>
            <w:tcW w:w="930" w:type="dxa"/>
            <w:tcBorders>
              <w:top w:val="nil"/>
              <w:left w:val="nil"/>
              <w:bottom w:val="nil"/>
              <w:right w:val="nil"/>
            </w:tcBorders>
            <w:noWrap w:val="0"/>
            <w:vAlign w:val="center"/>
          </w:tcPr>
          <w:p w14:paraId="504F75DA">
            <w:pPr>
              <w:jc w:val="center"/>
              <w:rPr>
                <w:rFonts w:eastAsia="楷体" w:cs="Times New Roman"/>
                <w:color w:val="000000"/>
                <w:sz w:val="30"/>
                <w:szCs w:val="30"/>
              </w:rPr>
            </w:pPr>
          </w:p>
        </w:tc>
        <w:tc>
          <w:tcPr>
            <w:tcW w:w="3072" w:type="dxa"/>
            <w:gridSpan w:val="4"/>
            <w:tcBorders>
              <w:top w:val="nil"/>
              <w:left w:val="nil"/>
              <w:bottom w:val="nil"/>
            </w:tcBorders>
            <w:noWrap w:val="0"/>
            <w:vAlign w:val="center"/>
          </w:tcPr>
          <w:p w14:paraId="2CFCC073">
            <w:pPr>
              <w:widowControl/>
              <w:textAlignment w:val="center"/>
              <w:rPr>
                <w:rFonts w:eastAsia="楷体" w:cs="Times New Roman"/>
                <w:color w:val="000000"/>
                <w:sz w:val="30"/>
                <w:szCs w:val="30"/>
              </w:rPr>
            </w:pPr>
            <w:r>
              <w:rPr>
                <w:rFonts w:eastAsia="楷体" w:cs="Times New Roman"/>
                <w:color w:val="000000"/>
                <w:kern w:val="0"/>
                <w:sz w:val="30"/>
                <w:szCs w:val="30"/>
                <w:lang w:bidi="ar"/>
              </w:rPr>
              <w:t>金额单位</w:t>
            </w:r>
            <w:r>
              <w:rPr>
                <w:rStyle w:val="135"/>
                <w:rFonts w:eastAsia="楷体"/>
                <w:sz w:val="30"/>
                <w:szCs w:val="30"/>
                <w:lang w:bidi="ar"/>
              </w:rPr>
              <w:t>:</w:t>
            </w:r>
            <w:r>
              <w:rPr>
                <w:rStyle w:val="136"/>
                <w:rFonts w:hint="default" w:ascii="Times New Roman" w:hAnsi="Times New Roman" w:eastAsia="楷体" w:cs="Times New Roman"/>
                <w:sz w:val="30"/>
                <w:szCs w:val="30"/>
                <w:lang w:bidi="ar"/>
              </w:rPr>
              <w:t>万元</w:t>
            </w:r>
          </w:p>
        </w:tc>
      </w:tr>
      <w:tr w14:paraId="7F7AB772">
        <w:tblPrEx>
          <w:tblCellMar>
            <w:top w:w="0" w:type="dxa"/>
            <w:left w:w="108" w:type="dxa"/>
            <w:bottom w:w="0" w:type="dxa"/>
            <w:right w:w="108" w:type="dxa"/>
          </w:tblCellMar>
        </w:tblPrEx>
        <w:trPr>
          <w:wBefore w:w="0" w:type="dxa"/>
          <w:wAfter w:w="0" w:type="dxa"/>
          <w:trHeight w:val="36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364298E">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项目</w:t>
            </w:r>
          </w:p>
        </w:tc>
        <w:tc>
          <w:tcPr>
            <w:tcW w:w="2748" w:type="dxa"/>
            <w:gridSpan w:val="2"/>
            <w:tcBorders>
              <w:top w:val="single" w:color="000000" w:sz="4" w:space="0"/>
              <w:left w:val="single" w:color="000000" w:sz="4" w:space="0"/>
              <w:bottom w:val="single" w:color="000000" w:sz="4" w:space="0"/>
              <w:right w:val="single" w:color="000000" w:sz="4" w:space="0"/>
            </w:tcBorders>
            <w:noWrap w:val="0"/>
            <w:vAlign w:val="center"/>
          </w:tcPr>
          <w:p w14:paraId="73E9D5AF">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2024</w:t>
            </w:r>
            <w:r>
              <w:rPr>
                <w:rStyle w:val="137"/>
                <w:rFonts w:hint="default" w:ascii="Times New Roman" w:hAnsi="Times New Roman" w:cs="Times New Roman"/>
                <w:lang w:bidi="ar"/>
              </w:rPr>
              <w:t>年编制数</w:t>
            </w:r>
          </w:p>
        </w:tc>
        <w:tc>
          <w:tcPr>
            <w:tcW w:w="2474" w:type="dxa"/>
            <w:gridSpan w:val="3"/>
            <w:tcBorders>
              <w:top w:val="single" w:color="000000" w:sz="4" w:space="0"/>
              <w:left w:val="single" w:color="000000" w:sz="4" w:space="0"/>
              <w:bottom w:val="single" w:color="000000" w:sz="4" w:space="0"/>
              <w:right w:val="single" w:color="000000" w:sz="4" w:space="0"/>
            </w:tcBorders>
            <w:noWrap w:val="0"/>
            <w:vAlign w:val="center"/>
          </w:tcPr>
          <w:p w14:paraId="2DEFB3EE">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2024</w:t>
            </w:r>
            <w:r>
              <w:rPr>
                <w:rStyle w:val="137"/>
                <w:rFonts w:hint="default" w:ascii="Times New Roman" w:hAnsi="Times New Roman" w:cs="Times New Roman"/>
                <w:lang w:bidi="ar"/>
              </w:rPr>
              <w:t>年实际在职人数</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65DCF86A">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控制率</w:t>
            </w:r>
          </w:p>
        </w:tc>
      </w:tr>
      <w:tr w14:paraId="2D665756">
        <w:tblPrEx>
          <w:tblCellMar>
            <w:top w:w="0" w:type="dxa"/>
            <w:left w:w="108" w:type="dxa"/>
            <w:bottom w:w="0" w:type="dxa"/>
            <w:right w:w="108" w:type="dxa"/>
          </w:tblCellMar>
        </w:tblPrEx>
        <w:trPr>
          <w:wBefore w:w="0" w:type="dxa"/>
          <w:wAfter w:w="0" w:type="dxa"/>
          <w:trHeight w:val="4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3DCFF724">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财政供养人员情况</w:t>
            </w:r>
          </w:p>
        </w:tc>
        <w:tc>
          <w:tcPr>
            <w:tcW w:w="2748" w:type="dxa"/>
            <w:gridSpan w:val="2"/>
            <w:tcBorders>
              <w:top w:val="single" w:color="000000" w:sz="4" w:space="0"/>
              <w:left w:val="single" w:color="000000" w:sz="4" w:space="0"/>
              <w:bottom w:val="single" w:color="000000" w:sz="4" w:space="0"/>
              <w:right w:val="single" w:color="000000" w:sz="4" w:space="0"/>
            </w:tcBorders>
            <w:noWrap w:val="0"/>
            <w:vAlign w:val="center"/>
          </w:tcPr>
          <w:p w14:paraId="112F95BD">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40</w:t>
            </w:r>
          </w:p>
        </w:tc>
        <w:tc>
          <w:tcPr>
            <w:tcW w:w="2474" w:type="dxa"/>
            <w:gridSpan w:val="3"/>
            <w:tcBorders>
              <w:top w:val="single" w:color="000000" w:sz="4" w:space="0"/>
              <w:left w:val="single" w:color="000000" w:sz="4" w:space="0"/>
              <w:bottom w:val="single" w:color="000000" w:sz="4" w:space="0"/>
              <w:right w:val="single" w:color="000000" w:sz="4" w:space="0"/>
            </w:tcBorders>
            <w:noWrap w:val="0"/>
            <w:vAlign w:val="center"/>
          </w:tcPr>
          <w:p w14:paraId="0F5E1BC6">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40</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6F980766">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100%</w:t>
            </w:r>
          </w:p>
        </w:tc>
      </w:tr>
      <w:tr w14:paraId="37D24200">
        <w:tblPrEx>
          <w:tblCellMar>
            <w:top w:w="0" w:type="dxa"/>
            <w:left w:w="108" w:type="dxa"/>
            <w:bottom w:w="0" w:type="dxa"/>
            <w:right w:w="108" w:type="dxa"/>
          </w:tblCellMar>
        </w:tblPrEx>
        <w:trPr>
          <w:wBefore w:w="0" w:type="dxa"/>
          <w:wAfter w:w="0" w:type="dxa"/>
          <w:trHeight w:val="312"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D224AA3">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经费控制情况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51D66DB">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2023</w:t>
            </w:r>
            <w:r>
              <w:rPr>
                <w:rStyle w:val="138"/>
                <w:rFonts w:hint="default" w:ascii="Times New Roman" w:hAnsi="Times New Roman" w:cs="Times New Roman"/>
                <w:lang w:bidi="ar"/>
              </w:rPr>
              <w:t>年预算数</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7198341">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2023</w:t>
            </w:r>
            <w:r>
              <w:rPr>
                <w:rStyle w:val="138"/>
                <w:rFonts w:hint="default" w:ascii="Times New Roman" w:hAnsi="Times New Roman" w:cs="Times New Roman"/>
                <w:lang w:bidi="ar"/>
              </w:rPr>
              <w:t>年决算数</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4D8EE6A">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2024</w:t>
            </w:r>
            <w:r>
              <w:rPr>
                <w:rStyle w:val="138"/>
                <w:rFonts w:hint="default" w:ascii="Times New Roman" w:hAnsi="Times New Roman" w:cs="Times New Roman"/>
                <w:lang w:bidi="ar"/>
              </w:rPr>
              <w:t>年预算数</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29EE81A4">
            <w:pPr>
              <w:widowControl/>
              <w:spacing w:line="500" w:lineRule="exact"/>
              <w:jc w:val="center"/>
              <w:textAlignment w:val="center"/>
              <w:rPr>
                <w:rFonts w:cs="Times New Roman"/>
                <w:color w:val="000000"/>
                <w:sz w:val="22"/>
                <w:szCs w:val="22"/>
              </w:rPr>
            </w:pPr>
            <w:r>
              <w:rPr>
                <w:rFonts w:cs="Times New Roman"/>
                <w:color w:val="000000"/>
                <w:kern w:val="0"/>
                <w:sz w:val="22"/>
                <w:szCs w:val="22"/>
                <w:lang w:bidi="ar"/>
              </w:rPr>
              <w:t>2024</w:t>
            </w:r>
            <w:r>
              <w:rPr>
                <w:rStyle w:val="138"/>
                <w:rFonts w:hint="default" w:ascii="Times New Roman" w:hAnsi="Times New Roman" w:cs="Times New Roman"/>
                <w:lang w:bidi="ar"/>
              </w:rPr>
              <w:t>年决算数</w:t>
            </w:r>
          </w:p>
        </w:tc>
      </w:tr>
      <w:tr w14:paraId="57A7FADC">
        <w:tblPrEx>
          <w:tblCellMar>
            <w:top w:w="0" w:type="dxa"/>
            <w:left w:w="108" w:type="dxa"/>
            <w:bottom w:w="0" w:type="dxa"/>
            <w:right w:w="108" w:type="dxa"/>
          </w:tblCellMar>
        </w:tblPrEx>
        <w:trPr>
          <w:wBefore w:w="0" w:type="dxa"/>
          <w:wAfter w:w="0" w:type="dxa"/>
          <w:trHeight w:val="36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A5194E3">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三公经费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6F24C62">
            <w:pPr>
              <w:widowControl/>
              <w:spacing w:line="500" w:lineRule="exact"/>
              <w:jc w:val="center"/>
              <w:textAlignment w:val="center"/>
              <w:rPr>
                <w:rFonts w:cs="Times New Roman"/>
                <w:b/>
                <w:bCs/>
                <w:color w:val="000000"/>
                <w:sz w:val="22"/>
                <w:szCs w:val="22"/>
              </w:rPr>
            </w:pPr>
            <w:r>
              <w:rPr>
                <w:rFonts w:cs="Times New Roman"/>
                <w:b/>
                <w:bCs/>
                <w:color w:val="000000"/>
                <w:sz w:val="22"/>
                <w:szCs w:val="22"/>
              </w:rPr>
              <w:t>2</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4D8E7E26">
            <w:pPr>
              <w:widowControl/>
              <w:spacing w:line="500" w:lineRule="exact"/>
              <w:jc w:val="center"/>
              <w:textAlignment w:val="center"/>
              <w:rPr>
                <w:rFonts w:cs="Times New Roman"/>
                <w:b/>
                <w:bCs/>
                <w:color w:val="000000"/>
                <w:sz w:val="22"/>
                <w:szCs w:val="22"/>
              </w:rPr>
            </w:pPr>
            <w:r>
              <w:rPr>
                <w:rFonts w:cs="Times New Roman"/>
                <w:b/>
                <w:bCs/>
                <w:color w:val="000000"/>
                <w:sz w:val="22"/>
                <w:szCs w:val="22"/>
              </w:rPr>
              <w:t>0.74</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4E62ABA0">
            <w:pPr>
              <w:widowControl/>
              <w:spacing w:line="500" w:lineRule="exact"/>
              <w:jc w:val="center"/>
              <w:textAlignment w:val="center"/>
              <w:rPr>
                <w:rFonts w:cs="Times New Roman"/>
                <w:b/>
                <w:bCs/>
                <w:color w:val="000000"/>
                <w:sz w:val="22"/>
                <w:szCs w:val="22"/>
              </w:rPr>
            </w:pPr>
            <w:r>
              <w:rPr>
                <w:rFonts w:cs="Times New Roman"/>
                <w:b/>
                <w:bCs/>
                <w:color w:val="000000"/>
                <w:sz w:val="22"/>
                <w:szCs w:val="22"/>
              </w:rPr>
              <w:t>10</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3FEA059D">
            <w:pPr>
              <w:widowControl/>
              <w:spacing w:line="500" w:lineRule="exact"/>
              <w:jc w:val="center"/>
              <w:textAlignment w:val="center"/>
              <w:rPr>
                <w:rFonts w:cs="Times New Roman"/>
                <w:b/>
                <w:bCs/>
                <w:color w:val="000000"/>
                <w:sz w:val="22"/>
                <w:szCs w:val="22"/>
              </w:rPr>
            </w:pPr>
            <w:r>
              <w:rPr>
                <w:rFonts w:cs="Times New Roman"/>
                <w:b/>
                <w:bCs/>
                <w:color w:val="000000"/>
                <w:sz w:val="22"/>
                <w:szCs w:val="22"/>
              </w:rPr>
              <w:t>6.15</w:t>
            </w:r>
          </w:p>
        </w:tc>
      </w:tr>
      <w:tr w14:paraId="206237A5">
        <w:tblPrEx>
          <w:tblCellMar>
            <w:top w:w="0" w:type="dxa"/>
            <w:left w:w="108" w:type="dxa"/>
            <w:bottom w:w="0" w:type="dxa"/>
            <w:right w:w="108" w:type="dxa"/>
          </w:tblCellMar>
        </w:tblPrEx>
        <w:trPr>
          <w:wBefore w:w="0" w:type="dxa"/>
          <w:wAfter w:w="0" w:type="dxa"/>
          <w:trHeight w:val="28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C28DAD2">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公务用车购置和维护经费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49B8A89">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3A2767CA">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B9D1A96">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B1D7912">
            <w:pPr>
              <w:spacing w:line="500" w:lineRule="exact"/>
              <w:jc w:val="center"/>
              <w:rPr>
                <w:rFonts w:cs="Times New Roman"/>
                <w:color w:val="000000"/>
                <w:sz w:val="22"/>
                <w:szCs w:val="22"/>
              </w:rPr>
            </w:pPr>
          </w:p>
        </w:tc>
      </w:tr>
      <w:tr w14:paraId="549F400D">
        <w:tblPrEx>
          <w:tblCellMar>
            <w:top w:w="0" w:type="dxa"/>
            <w:left w:w="108" w:type="dxa"/>
            <w:bottom w:w="0" w:type="dxa"/>
            <w:right w:w="108" w:type="dxa"/>
          </w:tblCellMar>
        </w:tblPrEx>
        <w:trPr>
          <w:wBefore w:w="0" w:type="dxa"/>
          <w:wAfter w:w="0" w:type="dxa"/>
          <w:trHeight w:val="28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381E9B67">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其中：公车购置</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5EB5841">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3E35776D">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10EC2D06">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B43654C">
            <w:pPr>
              <w:spacing w:line="500" w:lineRule="exact"/>
              <w:jc w:val="center"/>
              <w:rPr>
                <w:rFonts w:cs="Times New Roman"/>
                <w:color w:val="000000"/>
                <w:sz w:val="22"/>
                <w:szCs w:val="22"/>
              </w:rPr>
            </w:pPr>
          </w:p>
        </w:tc>
      </w:tr>
      <w:tr w14:paraId="7BE591E5">
        <w:tblPrEx>
          <w:tblCellMar>
            <w:top w:w="0" w:type="dxa"/>
            <w:left w:w="108" w:type="dxa"/>
            <w:bottom w:w="0" w:type="dxa"/>
            <w:right w:w="108" w:type="dxa"/>
          </w:tblCellMar>
        </w:tblPrEx>
        <w:trPr>
          <w:wBefore w:w="0" w:type="dxa"/>
          <w:wAfter w:w="0" w:type="dxa"/>
          <w:trHeight w:val="28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EF69892">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公车运行维护</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E535087">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83C526F">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49E263E3">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B1C2679">
            <w:pPr>
              <w:spacing w:line="500" w:lineRule="exact"/>
              <w:jc w:val="center"/>
              <w:rPr>
                <w:rFonts w:cs="Times New Roman"/>
                <w:color w:val="000000"/>
                <w:sz w:val="22"/>
                <w:szCs w:val="22"/>
              </w:rPr>
            </w:pPr>
          </w:p>
        </w:tc>
      </w:tr>
      <w:tr w14:paraId="356008FE">
        <w:tblPrEx>
          <w:tblCellMar>
            <w:top w:w="0" w:type="dxa"/>
            <w:left w:w="108" w:type="dxa"/>
            <w:bottom w:w="0" w:type="dxa"/>
            <w:right w:w="108" w:type="dxa"/>
          </w:tblCellMar>
        </w:tblPrEx>
        <w:trPr>
          <w:wBefore w:w="0" w:type="dxa"/>
          <w:wAfter w:w="0" w:type="dxa"/>
          <w:trHeight w:val="28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4F8753E">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出国经费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F207B58">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411F32E2">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52BF0CC">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3F1ADB38">
            <w:pPr>
              <w:spacing w:line="500" w:lineRule="exact"/>
              <w:jc w:val="center"/>
              <w:rPr>
                <w:rFonts w:cs="Times New Roman"/>
                <w:color w:val="000000"/>
                <w:sz w:val="22"/>
                <w:szCs w:val="22"/>
              </w:rPr>
            </w:pPr>
          </w:p>
        </w:tc>
      </w:tr>
      <w:tr w14:paraId="312F3F5E">
        <w:tblPrEx>
          <w:tblCellMar>
            <w:top w:w="0" w:type="dxa"/>
            <w:left w:w="108" w:type="dxa"/>
            <w:bottom w:w="0" w:type="dxa"/>
            <w:right w:w="108" w:type="dxa"/>
          </w:tblCellMar>
        </w:tblPrEx>
        <w:trPr>
          <w:wBefore w:w="0" w:type="dxa"/>
          <w:wAfter w:w="0" w:type="dxa"/>
          <w:trHeight w:val="28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0B7AA638">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公务接待</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7EC462">
            <w:pPr>
              <w:widowControl/>
              <w:spacing w:line="500" w:lineRule="exact"/>
              <w:jc w:val="center"/>
              <w:textAlignment w:val="center"/>
              <w:rPr>
                <w:rFonts w:cs="Times New Roman"/>
                <w:b/>
                <w:bCs/>
                <w:color w:val="000000"/>
                <w:sz w:val="22"/>
                <w:szCs w:val="22"/>
              </w:rPr>
            </w:pPr>
            <w:r>
              <w:rPr>
                <w:rFonts w:cs="Times New Roman"/>
                <w:b/>
                <w:bCs/>
                <w:color w:val="000000"/>
                <w:sz w:val="22"/>
                <w:szCs w:val="22"/>
              </w:rPr>
              <w:t>2</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078BB4A">
            <w:pPr>
              <w:widowControl/>
              <w:spacing w:line="500" w:lineRule="exact"/>
              <w:jc w:val="center"/>
              <w:textAlignment w:val="center"/>
              <w:rPr>
                <w:rFonts w:cs="Times New Roman"/>
                <w:b/>
                <w:bCs/>
                <w:color w:val="000000"/>
                <w:sz w:val="22"/>
                <w:szCs w:val="22"/>
              </w:rPr>
            </w:pPr>
            <w:r>
              <w:rPr>
                <w:rFonts w:cs="Times New Roman"/>
                <w:b/>
                <w:bCs/>
                <w:color w:val="000000"/>
                <w:sz w:val="22"/>
                <w:szCs w:val="22"/>
              </w:rPr>
              <w:t>0.74</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AA3E180">
            <w:pPr>
              <w:widowControl/>
              <w:spacing w:line="500" w:lineRule="exact"/>
              <w:jc w:val="center"/>
              <w:textAlignment w:val="center"/>
              <w:rPr>
                <w:rFonts w:cs="Times New Roman"/>
                <w:b/>
                <w:bCs/>
                <w:color w:val="000000"/>
                <w:sz w:val="22"/>
                <w:szCs w:val="22"/>
              </w:rPr>
            </w:pPr>
            <w:r>
              <w:rPr>
                <w:rFonts w:cs="Times New Roman"/>
                <w:b/>
                <w:bCs/>
                <w:color w:val="000000"/>
                <w:sz w:val="22"/>
                <w:szCs w:val="22"/>
              </w:rPr>
              <w:t>10</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4DEE05BE">
            <w:pPr>
              <w:widowControl/>
              <w:spacing w:line="500" w:lineRule="exact"/>
              <w:jc w:val="center"/>
              <w:textAlignment w:val="center"/>
              <w:rPr>
                <w:rFonts w:cs="Times New Roman"/>
                <w:b/>
                <w:bCs/>
                <w:color w:val="000000"/>
                <w:sz w:val="22"/>
                <w:szCs w:val="22"/>
              </w:rPr>
            </w:pPr>
            <w:r>
              <w:rPr>
                <w:rFonts w:cs="Times New Roman"/>
                <w:b/>
                <w:bCs/>
                <w:color w:val="000000"/>
                <w:sz w:val="22"/>
                <w:szCs w:val="22"/>
              </w:rPr>
              <w:t>6.15</w:t>
            </w:r>
          </w:p>
        </w:tc>
      </w:tr>
      <w:tr w14:paraId="6D60DAEE">
        <w:tblPrEx>
          <w:tblCellMar>
            <w:top w:w="0" w:type="dxa"/>
            <w:left w:w="108" w:type="dxa"/>
            <w:bottom w:w="0" w:type="dxa"/>
            <w:right w:w="108" w:type="dxa"/>
          </w:tblCellMar>
        </w:tblPrEx>
        <w:trPr>
          <w:wBefore w:w="0" w:type="dxa"/>
          <w:wAfter w:w="0" w:type="dxa"/>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4A4CC5A7">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项目支出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0D9BF8E">
            <w:pPr>
              <w:spacing w:line="500" w:lineRule="exact"/>
              <w:jc w:val="center"/>
              <w:rPr>
                <w:rFonts w:cs="Times New Roman"/>
                <w:b/>
                <w:bCs/>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0584BB8C">
            <w:pPr>
              <w:spacing w:line="500" w:lineRule="exact"/>
              <w:jc w:val="center"/>
              <w:rPr>
                <w:rFonts w:cs="Times New Roman"/>
                <w:b/>
                <w:bCs/>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6A63D68">
            <w:pPr>
              <w:spacing w:line="500" w:lineRule="exact"/>
              <w:jc w:val="center"/>
              <w:rPr>
                <w:rFonts w:cs="Times New Roman"/>
                <w:b/>
                <w:bCs/>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7F86A48">
            <w:pPr>
              <w:spacing w:line="500" w:lineRule="exact"/>
              <w:jc w:val="center"/>
              <w:rPr>
                <w:rFonts w:cs="Times New Roman"/>
                <w:b/>
                <w:bCs/>
                <w:color w:val="000000"/>
                <w:sz w:val="22"/>
                <w:szCs w:val="22"/>
              </w:rPr>
            </w:pPr>
          </w:p>
        </w:tc>
      </w:tr>
      <w:tr w14:paraId="2CB0CC50">
        <w:tblPrEx>
          <w:tblCellMar>
            <w:top w:w="0" w:type="dxa"/>
            <w:left w:w="108" w:type="dxa"/>
            <w:bottom w:w="0" w:type="dxa"/>
            <w:right w:w="108" w:type="dxa"/>
          </w:tblCellMar>
        </w:tblPrEx>
        <w:trPr>
          <w:wBefore w:w="0" w:type="dxa"/>
          <w:wAfter w:w="0" w:type="dxa"/>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1BB5DD47">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1.业务工作专项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55F8C9B">
            <w:pPr>
              <w:widowControl/>
              <w:spacing w:line="500" w:lineRule="exact"/>
              <w:jc w:val="center"/>
              <w:textAlignment w:val="center"/>
              <w:rPr>
                <w:rFonts w:cs="Times New Roman"/>
                <w:b/>
                <w:bCs/>
                <w:color w:val="000000"/>
                <w:sz w:val="22"/>
                <w:szCs w:val="22"/>
              </w:rPr>
            </w:pPr>
            <w:r>
              <w:rPr>
                <w:rFonts w:cs="Times New Roman"/>
                <w:b/>
                <w:bCs/>
                <w:color w:val="000000"/>
                <w:sz w:val="22"/>
                <w:szCs w:val="22"/>
              </w:rPr>
              <w:t>418.31</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1ADD30D0">
            <w:pPr>
              <w:widowControl/>
              <w:spacing w:line="500" w:lineRule="exact"/>
              <w:jc w:val="center"/>
              <w:textAlignment w:val="center"/>
              <w:rPr>
                <w:rFonts w:cs="Times New Roman"/>
                <w:b/>
                <w:bCs/>
                <w:color w:val="000000"/>
                <w:sz w:val="22"/>
                <w:szCs w:val="22"/>
              </w:rPr>
            </w:pPr>
            <w:r>
              <w:rPr>
                <w:rFonts w:cs="Times New Roman"/>
                <w:b/>
                <w:bCs/>
                <w:color w:val="000000"/>
                <w:sz w:val="22"/>
                <w:szCs w:val="22"/>
              </w:rPr>
              <w:t>431.16</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1AF3394">
            <w:pPr>
              <w:widowControl/>
              <w:spacing w:line="500" w:lineRule="exact"/>
              <w:jc w:val="center"/>
              <w:textAlignment w:val="center"/>
              <w:rPr>
                <w:rFonts w:cs="Times New Roman"/>
                <w:b/>
                <w:bCs/>
                <w:color w:val="000000"/>
                <w:sz w:val="22"/>
                <w:szCs w:val="22"/>
              </w:rPr>
            </w:pPr>
            <w:r>
              <w:rPr>
                <w:rFonts w:cs="Times New Roman"/>
                <w:b/>
                <w:bCs/>
                <w:color w:val="000000"/>
                <w:sz w:val="22"/>
                <w:szCs w:val="22"/>
              </w:rPr>
              <w:t>255.58</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A515D4A">
            <w:pPr>
              <w:widowControl/>
              <w:spacing w:line="500" w:lineRule="exact"/>
              <w:jc w:val="center"/>
              <w:textAlignment w:val="center"/>
              <w:rPr>
                <w:rFonts w:cs="Times New Roman"/>
                <w:b/>
                <w:bCs/>
                <w:color w:val="000000"/>
                <w:sz w:val="22"/>
                <w:szCs w:val="22"/>
              </w:rPr>
            </w:pPr>
            <w:r>
              <w:rPr>
                <w:rFonts w:cs="Times New Roman"/>
                <w:b/>
                <w:bCs/>
                <w:color w:val="000000"/>
                <w:sz w:val="22"/>
                <w:szCs w:val="22"/>
              </w:rPr>
              <w:t>602.73</w:t>
            </w:r>
          </w:p>
        </w:tc>
      </w:tr>
      <w:tr w14:paraId="3AE4B1C0">
        <w:tblPrEx>
          <w:tblCellMar>
            <w:top w:w="0" w:type="dxa"/>
            <w:left w:w="108" w:type="dxa"/>
            <w:bottom w:w="0" w:type="dxa"/>
            <w:right w:w="108" w:type="dxa"/>
          </w:tblCellMar>
        </w:tblPrEx>
        <w:trPr>
          <w:wBefore w:w="0" w:type="dxa"/>
          <w:wAfter w:w="0" w:type="dxa"/>
          <w:trHeight w:val="42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73006DD">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公用经费情况：</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E9DDAC1">
            <w:pPr>
              <w:widowControl/>
              <w:spacing w:line="500" w:lineRule="exact"/>
              <w:jc w:val="center"/>
              <w:textAlignment w:val="center"/>
              <w:rPr>
                <w:rFonts w:cs="Times New Roman"/>
                <w:b/>
                <w:bCs/>
                <w:color w:val="000000"/>
                <w:sz w:val="22"/>
                <w:szCs w:val="22"/>
              </w:rPr>
            </w:pPr>
            <w:r>
              <w:rPr>
                <w:rFonts w:cs="Times New Roman"/>
                <w:b/>
                <w:bCs/>
                <w:color w:val="000000"/>
                <w:sz w:val="22"/>
                <w:szCs w:val="22"/>
              </w:rPr>
              <w:t>157.5</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F8572E2">
            <w:pPr>
              <w:widowControl/>
              <w:spacing w:line="500" w:lineRule="exact"/>
              <w:jc w:val="center"/>
              <w:textAlignment w:val="center"/>
              <w:rPr>
                <w:rFonts w:cs="Times New Roman"/>
                <w:b/>
                <w:bCs/>
                <w:color w:val="000000"/>
                <w:sz w:val="22"/>
                <w:szCs w:val="22"/>
              </w:rPr>
            </w:pPr>
            <w:r>
              <w:rPr>
                <w:rFonts w:cs="Times New Roman"/>
                <w:b/>
                <w:bCs/>
                <w:color w:val="000000"/>
                <w:sz w:val="22"/>
                <w:szCs w:val="22"/>
              </w:rPr>
              <w:t>85.24</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102FBB62">
            <w:pPr>
              <w:widowControl/>
              <w:spacing w:line="500" w:lineRule="exact"/>
              <w:jc w:val="center"/>
              <w:textAlignment w:val="center"/>
              <w:rPr>
                <w:rFonts w:cs="Times New Roman"/>
                <w:b/>
                <w:bCs/>
                <w:color w:val="000000"/>
                <w:sz w:val="22"/>
                <w:szCs w:val="22"/>
              </w:rPr>
            </w:pPr>
            <w:r>
              <w:rPr>
                <w:rFonts w:cs="Times New Roman"/>
                <w:b/>
                <w:bCs/>
                <w:color w:val="000000"/>
                <w:sz w:val="22"/>
                <w:szCs w:val="22"/>
              </w:rPr>
              <w:t>108.68</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D3EAFAB">
            <w:pPr>
              <w:widowControl/>
              <w:spacing w:line="500" w:lineRule="exact"/>
              <w:jc w:val="center"/>
              <w:textAlignment w:val="center"/>
              <w:rPr>
                <w:rFonts w:cs="Times New Roman"/>
                <w:b/>
                <w:bCs/>
                <w:color w:val="000000"/>
                <w:sz w:val="22"/>
                <w:szCs w:val="22"/>
              </w:rPr>
            </w:pPr>
            <w:r>
              <w:rPr>
                <w:rFonts w:cs="Times New Roman"/>
                <w:b/>
                <w:bCs/>
                <w:color w:val="000000"/>
                <w:sz w:val="22"/>
                <w:szCs w:val="22"/>
              </w:rPr>
              <w:t>107.44</w:t>
            </w:r>
          </w:p>
        </w:tc>
      </w:tr>
      <w:tr w14:paraId="6CC0AF23">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66A3129">
            <w:pPr>
              <w:widowControl/>
              <w:spacing w:line="500" w:lineRule="exact"/>
              <w:jc w:val="center"/>
              <w:textAlignment w:val="center"/>
              <w:rPr>
                <w:rFonts w:cs="Times New Roman"/>
                <w:color w:val="000000"/>
                <w:sz w:val="22"/>
                <w:szCs w:val="22"/>
              </w:rPr>
            </w:pPr>
            <w:r>
              <w:rPr>
                <w:rStyle w:val="138"/>
                <w:rFonts w:hint="default" w:ascii="Times New Roman" w:hAnsi="Times New Roman" w:cs="Times New Roman"/>
                <w:lang w:bidi="ar"/>
              </w:rPr>
              <w:t>其中：办公费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550EC39">
            <w:pPr>
              <w:widowControl/>
              <w:spacing w:line="500" w:lineRule="exact"/>
              <w:jc w:val="center"/>
              <w:textAlignment w:val="center"/>
              <w:rPr>
                <w:rFonts w:cs="Times New Roman"/>
                <w:color w:val="000000"/>
                <w:sz w:val="22"/>
                <w:szCs w:val="22"/>
              </w:rPr>
            </w:pPr>
            <w:r>
              <w:rPr>
                <w:rFonts w:cs="Times New Roman"/>
                <w:color w:val="000000"/>
                <w:sz w:val="22"/>
                <w:szCs w:val="22"/>
              </w:rPr>
              <w:t>15</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5D91E06F">
            <w:pPr>
              <w:widowControl/>
              <w:spacing w:line="500" w:lineRule="exact"/>
              <w:jc w:val="center"/>
              <w:textAlignment w:val="center"/>
              <w:rPr>
                <w:rFonts w:cs="Times New Roman"/>
                <w:color w:val="000000"/>
                <w:sz w:val="22"/>
                <w:szCs w:val="22"/>
              </w:rPr>
            </w:pPr>
            <w:r>
              <w:rPr>
                <w:rFonts w:cs="Times New Roman"/>
                <w:color w:val="000000"/>
                <w:sz w:val="22"/>
                <w:szCs w:val="22"/>
              </w:rPr>
              <w:t>2.97</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6E7B1862">
            <w:pPr>
              <w:widowControl/>
              <w:spacing w:line="500" w:lineRule="exact"/>
              <w:jc w:val="center"/>
              <w:textAlignment w:val="center"/>
              <w:rPr>
                <w:rFonts w:cs="Times New Roman"/>
                <w:color w:val="000000"/>
                <w:sz w:val="22"/>
                <w:szCs w:val="22"/>
              </w:rPr>
            </w:pPr>
            <w:r>
              <w:rPr>
                <w:rFonts w:cs="Times New Roman"/>
                <w:color w:val="000000"/>
                <w:sz w:val="22"/>
                <w:szCs w:val="22"/>
              </w:rPr>
              <w:t>29</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842B75E">
            <w:pPr>
              <w:widowControl/>
              <w:spacing w:line="500" w:lineRule="exact"/>
              <w:jc w:val="center"/>
              <w:textAlignment w:val="center"/>
              <w:rPr>
                <w:rFonts w:cs="Times New Roman"/>
                <w:color w:val="000000"/>
                <w:sz w:val="22"/>
                <w:szCs w:val="22"/>
              </w:rPr>
            </w:pPr>
            <w:r>
              <w:rPr>
                <w:rFonts w:cs="Times New Roman"/>
                <w:color w:val="000000"/>
                <w:sz w:val="22"/>
                <w:szCs w:val="22"/>
              </w:rPr>
              <w:t>16.67</w:t>
            </w:r>
          </w:p>
        </w:tc>
      </w:tr>
      <w:tr w14:paraId="0E19F717">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0A6E856">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印刷费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2DA5FE0">
            <w:pPr>
              <w:widowControl/>
              <w:spacing w:line="500" w:lineRule="exact"/>
              <w:jc w:val="center"/>
              <w:textAlignment w:val="center"/>
              <w:rPr>
                <w:rFonts w:cs="Times New Roman"/>
                <w:color w:val="000000"/>
                <w:sz w:val="22"/>
                <w:szCs w:val="22"/>
              </w:rPr>
            </w:pPr>
            <w:r>
              <w:rPr>
                <w:rFonts w:cs="Times New Roman"/>
                <w:color w:val="000000"/>
                <w:sz w:val="22"/>
                <w:szCs w:val="22"/>
              </w:rPr>
              <w:t>16</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1A31BB43">
            <w:pPr>
              <w:widowControl/>
              <w:spacing w:line="500" w:lineRule="exact"/>
              <w:jc w:val="center"/>
              <w:textAlignment w:val="center"/>
              <w:rPr>
                <w:rFonts w:cs="Times New Roman"/>
                <w:color w:val="000000"/>
                <w:sz w:val="22"/>
                <w:szCs w:val="22"/>
              </w:rPr>
            </w:pPr>
            <w:r>
              <w:rPr>
                <w:rFonts w:cs="Times New Roman"/>
                <w:color w:val="000000"/>
                <w:sz w:val="22"/>
                <w:szCs w:val="22"/>
              </w:rPr>
              <w:t>3.18</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5BC50539">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2B675A2C">
            <w:pPr>
              <w:widowControl/>
              <w:spacing w:line="500" w:lineRule="exact"/>
              <w:jc w:val="center"/>
              <w:textAlignment w:val="center"/>
              <w:rPr>
                <w:rFonts w:cs="Times New Roman"/>
                <w:color w:val="000000"/>
                <w:sz w:val="22"/>
                <w:szCs w:val="22"/>
              </w:rPr>
            </w:pPr>
            <w:r>
              <w:rPr>
                <w:rFonts w:cs="Times New Roman"/>
                <w:color w:val="000000"/>
                <w:sz w:val="22"/>
                <w:szCs w:val="22"/>
              </w:rPr>
              <w:t>5.35</w:t>
            </w:r>
          </w:p>
        </w:tc>
      </w:tr>
      <w:tr w14:paraId="77487B67">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445A9AE">
            <w:pPr>
              <w:widowControl/>
              <w:spacing w:line="500" w:lineRule="exact"/>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咨询费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6E4EEC3">
            <w:pPr>
              <w:widowControl/>
              <w:spacing w:line="500" w:lineRule="exact"/>
              <w:jc w:val="center"/>
              <w:textAlignment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F35DDE6">
            <w:pPr>
              <w:widowControl/>
              <w:spacing w:line="500" w:lineRule="exact"/>
              <w:jc w:val="center"/>
              <w:textAlignment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5CEF8C4">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503FA080">
            <w:pPr>
              <w:spacing w:line="500" w:lineRule="exact"/>
              <w:jc w:val="center"/>
              <w:rPr>
                <w:rFonts w:cs="Times New Roman"/>
                <w:color w:val="000000"/>
                <w:sz w:val="22"/>
                <w:szCs w:val="22"/>
              </w:rPr>
            </w:pPr>
          </w:p>
        </w:tc>
      </w:tr>
      <w:tr w14:paraId="5E72D7CB">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3736113C">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手续费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742CD3">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79EAD528">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61692243">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19167AC">
            <w:pPr>
              <w:spacing w:line="500" w:lineRule="exact"/>
              <w:jc w:val="center"/>
              <w:rPr>
                <w:rFonts w:cs="Times New Roman"/>
                <w:color w:val="000000"/>
                <w:sz w:val="22"/>
                <w:szCs w:val="22"/>
              </w:rPr>
            </w:pPr>
          </w:p>
        </w:tc>
      </w:tr>
      <w:tr w14:paraId="129C2E87">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4D2F64BA">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水费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B8808AD">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6CE4FE29">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4C8701E3">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6F1D5482">
            <w:pPr>
              <w:spacing w:line="500" w:lineRule="exact"/>
              <w:jc w:val="center"/>
              <w:rPr>
                <w:rFonts w:cs="Times New Roman"/>
                <w:color w:val="000000"/>
                <w:sz w:val="22"/>
                <w:szCs w:val="22"/>
              </w:rPr>
            </w:pPr>
          </w:p>
        </w:tc>
      </w:tr>
      <w:tr w14:paraId="1DCDD25E">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CE96874">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电费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C28B081">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13315A44">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A6FAFDD">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61F39A2E">
            <w:pPr>
              <w:spacing w:line="500" w:lineRule="exact"/>
              <w:jc w:val="center"/>
              <w:rPr>
                <w:rFonts w:cs="Times New Roman"/>
                <w:color w:val="000000"/>
                <w:sz w:val="22"/>
                <w:szCs w:val="22"/>
              </w:rPr>
            </w:pPr>
          </w:p>
        </w:tc>
      </w:tr>
      <w:tr w14:paraId="372C97DF">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C38D3D7">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邮电费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9F2CBB2">
            <w:pPr>
              <w:widowControl/>
              <w:spacing w:line="500" w:lineRule="exact"/>
              <w:jc w:val="center"/>
              <w:textAlignment w:val="center"/>
              <w:rPr>
                <w:rFonts w:cs="Times New Roman"/>
                <w:color w:val="000000"/>
                <w:sz w:val="22"/>
                <w:szCs w:val="22"/>
              </w:rPr>
            </w:pPr>
            <w:r>
              <w:rPr>
                <w:rFonts w:cs="Times New Roman"/>
                <w:color w:val="000000"/>
                <w:sz w:val="22"/>
                <w:szCs w:val="22"/>
              </w:rPr>
              <w:t>2</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61FFFAE">
            <w:pPr>
              <w:widowControl/>
              <w:spacing w:line="500" w:lineRule="exact"/>
              <w:jc w:val="center"/>
              <w:textAlignment w:val="center"/>
              <w:rPr>
                <w:rFonts w:cs="Times New Roman"/>
                <w:color w:val="000000"/>
                <w:sz w:val="22"/>
                <w:szCs w:val="22"/>
              </w:rPr>
            </w:pPr>
            <w:r>
              <w:rPr>
                <w:rFonts w:cs="Times New Roman"/>
                <w:color w:val="000000"/>
                <w:sz w:val="22"/>
                <w:szCs w:val="22"/>
              </w:rPr>
              <w:t>1.85</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2DE5473C">
            <w:pPr>
              <w:widowControl/>
              <w:spacing w:line="500" w:lineRule="exact"/>
              <w:jc w:val="center"/>
              <w:textAlignment w:val="center"/>
              <w:rPr>
                <w:rFonts w:cs="Times New Roman"/>
                <w:color w:val="000000"/>
                <w:sz w:val="22"/>
                <w:szCs w:val="22"/>
              </w:rPr>
            </w:pPr>
            <w:r>
              <w:rPr>
                <w:rFonts w:cs="Times New Roman"/>
                <w:color w:val="000000"/>
                <w:sz w:val="22"/>
                <w:szCs w:val="22"/>
              </w:rPr>
              <w:t>1.37</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3CE98E48">
            <w:pPr>
              <w:widowControl/>
              <w:spacing w:line="500" w:lineRule="exact"/>
              <w:jc w:val="center"/>
              <w:textAlignment w:val="center"/>
              <w:rPr>
                <w:rFonts w:cs="Times New Roman"/>
                <w:color w:val="000000"/>
                <w:sz w:val="22"/>
                <w:szCs w:val="22"/>
              </w:rPr>
            </w:pPr>
            <w:r>
              <w:rPr>
                <w:rFonts w:cs="Times New Roman"/>
                <w:color w:val="000000"/>
                <w:sz w:val="22"/>
                <w:szCs w:val="22"/>
              </w:rPr>
              <w:t>0.98</w:t>
            </w:r>
          </w:p>
        </w:tc>
      </w:tr>
      <w:tr w14:paraId="5637EF42">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07E55C6C">
            <w:pPr>
              <w:widowControl/>
              <w:spacing w:line="500" w:lineRule="exact"/>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取暖费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F81A9E6">
            <w:pPr>
              <w:widowControl/>
              <w:spacing w:line="500" w:lineRule="exact"/>
              <w:jc w:val="center"/>
              <w:textAlignment w:val="center"/>
              <w:rPr>
                <w:rFonts w:cs="Times New Roman"/>
                <w:color w:val="000000"/>
                <w:kern w:val="0"/>
                <w:sz w:val="22"/>
                <w:szCs w:val="22"/>
                <w:lang w:bidi="ar"/>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6F4805B">
            <w:pPr>
              <w:widowControl/>
              <w:spacing w:line="500" w:lineRule="exact"/>
              <w:jc w:val="center"/>
              <w:textAlignment w:val="center"/>
              <w:rPr>
                <w:rFonts w:cs="Times New Roman"/>
                <w:color w:val="000000"/>
                <w:kern w:val="0"/>
                <w:sz w:val="22"/>
                <w:szCs w:val="22"/>
                <w:lang w:bidi="ar"/>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8F19956">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0F490571">
            <w:pPr>
              <w:widowControl/>
              <w:spacing w:line="500" w:lineRule="exact"/>
              <w:jc w:val="center"/>
              <w:textAlignment w:val="center"/>
              <w:rPr>
                <w:rFonts w:cs="Times New Roman"/>
                <w:color w:val="000000"/>
                <w:sz w:val="22"/>
                <w:szCs w:val="22"/>
              </w:rPr>
            </w:pPr>
          </w:p>
        </w:tc>
      </w:tr>
      <w:tr w14:paraId="1CF420BC">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2C79804D">
            <w:pPr>
              <w:widowControl/>
              <w:spacing w:line="500" w:lineRule="exact"/>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物业管理费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208120F">
            <w:pPr>
              <w:widowControl/>
              <w:spacing w:line="500" w:lineRule="exact"/>
              <w:jc w:val="center"/>
              <w:textAlignment w:val="center"/>
              <w:rPr>
                <w:rFonts w:cs="Times New Roman"/>
                <w:color w:val="000000"/>
                <w:kern w:val="0"/>
                <w:sz w:val="22"/>
                <w:szCs w:val="22"/>
                <w:lang w:bidi="ar"/>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5D93F6EB">
            <w:pPr>
              <w:widowControl/>
              <w:spacing w:line="500" w:lineRule="exact"/>
              <w:jc w:val="center"/>
              <w:textAlignment w:val="center"/>
              <w:rPr>
                <w:rFonts w:cs="Times New Roman"/>
                <w:color w:val="000000"/>
                <w:kern w:val="0"/>
                <w:sz w:val="22"/>
                <w:szCs w:val="22"/>
                <w:lang w:bidi="ar"/>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55576EBF">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4BB45994">
            <w:pPr>
              <w:widowControl/>
              <w:spacing w:line="500" w:lineRule="exact"/>
              <w:jc w:val="center"/>
              <w:textAlignment w:val="center"/>
              <w:rPr>
                <w:rFonts w:cs="Times New Roman"/>
                <w:color w:val="000000"/>
                <w:sz w:val="22"/>
                <w:szCs w:val="22"/>
              </w:rPr>
            </w:pPr>
          </w:p>
        </w:tc>
      </w:tr>
      <w:tr w14:paraId="17B02EE0">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450275E2">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差旅费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787472E">
            <w:pPr>
              <w:widowControl/>
              <w:spacing w:line="500" w:lineRule="exact"/>
              <w:jc w:val="center"/>
              <w:textAlignment w:val="center"/>
              <w:rPr>
                <w:rFonts w:cs="Times New Roman"/>
                <w:color w:val="000000"/>
                <w:sz w:val="22"/>
                <w:szCs w:val="22"/>
              </w:rPr>
            </w:pPr>
            <w:r>
              <w:rPr>
                <w:rFonts w:cs="Times New Roman"/>
                <w:color w:val="000000"/>
                <w:sz w:val="22"/>
                <w:szCs w:val="22"/>
              </w:rPr>
              <w:t>2</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FB7959B">
            <w:pPr>
              <w:widowControl/>
              <w:spacing w:line="500" w:lineRule="exact"/>
              <w:jc w:val="center"/>
              <w:textAlignment w:val="center"/>
              <w:rPr>
                <w:rFonts w:cs="Times New Roman"/>
                <w:color w:val="000000"/>
                <w:sz w:val="22"/>
                <w:szCs w:val="22"/>
              </w:rPr>
            </w:pPr>
            <w:r>
              <w:rPr>
                <w:rFonts w:cs="Times New Roman"/>
                <w:color w:val="000000"/>
                <w:sz w:val="22"/>
                <w:szCs w:val="22"/>
              </w:rPr>
              <w:t>2.03</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20D211BC">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DC29216">
            <w:pPr>
              <w:widowControl/>
              <w:spacing w:line="500" w:lineRule="exact"/>
              <w:jc w:val="center"/>
              <w:textAlignment w:val="center"/>
              <w:rPr>
                <w:rFonts w:cs="Times New Roman"/>
                <w:color w:val="000000"/>
                <w:sz w:val="22"/>
                <w:szCs w:val="22"/>
              </w:rPr>
            </w:pPr>
            <w:r>
              <w:rPr>
                <w:rFonts w:cs="Times New Roman"/>
                <w:color w:val="000000"/>
                <w:sz w:val="22"/>
                <w:szCs w:val="22"/>
              </w:rPr>
              <w:t>0.41</w:t>
            </w:r>
          </w:p>
        </w:tc>
      </w:tr>
      <w:tr w14:paraId="7B18B33F">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3AD043F">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维修（护）费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82A5EFA">
            <w:pPr>
              <w:widowControl/>
              <w:spacing w:line="500" w:lineRule="exact"/>
              <w:jc w:val="center"/>
              <w:textAlignment w:val="center"/>
              <w:rPr>
                <w:rFonts w:cs="Times New Roman"/>
                <w:color w:val="000000"/>
                <w:sz w:val="22"/>
                <w:szCs w:val="22"/>
              </w:rPr>
            </w:pPr>
            <w:r>
              <w:rPr>
                <w:rFonts w:cs="Times New Roman"/>
                <w:color w:val="000000"/>
                <w:sz w:val="22"/>
                <w:szCs w:val="22"/>
              </w:rPr>
              <w:t>1.77</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13C227F8">
            <w:pPr>
              <w:widowControl/>
              <w:spacing w:line="500" w:lineRule="exact"/>
              <w:jc w:val="center"/>
              <w:textAlignment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091F9B7">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3EE82B45">
            <w:pPr>
              <w:widowControl/>
              <w:spacing w:line="500" w:lineRule="exact"/>
              <w:jc w:val="center"/>
              <w:textAlignment w:val="center"/>
              <w:rPr>
                <w:rFonts w:cs="Times New Roman"/>
                <w:color w:val="000000"/>
                <w:sz w:val="22"/>
                <w:szCs w:val="22"/>
              </w:rPr>
            </w:pPr>
          </w:p>
        </w:tc>
      </w:tr>
      <w:tr w14:paraId="4C666484">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16F095F2">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租赁费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E24EE40">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5E3CE6C0">
            <w:pPr>
              <w:spacing w:line="500" w:lineRule="exact"/>
              <w:jc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7DE41440">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2F07A72">
            <w:pPr>
              <w:spacing w:line="500" w:lineRule="exact"/>
              <w:jc w:val="center"/>
              <w:rPr>
                <w:rFonts w:cs="Times New Roman"/>
                <w:color w:val="000000"/>
                <w:sz w:val="22"/>
                <w:szCs w:val="22"/>
              </w:rPr>
            </w:pPr>
          </w:p>
        </w:tc>
      </w:tr>
      <w:tr w14:paraId="71B59934">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081630E1">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会议费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4B6EE58">
            <w:pPr>
              <w:widowControl/>
              <w:spacing w:line="500" w:lineRule="exact"/>
              <w:jc w:val="center"/>
              <w:textAlignment w:val="center"/>
              <w:rPr>
                <w:rFonts w:cs="Times New Roman"/>
                <w:color w:val="000000"/>
                <w:sz w:val="22"/>
                <w:szCs w:val="22"/>
              </w:rPr>
            </w:pPr>
            <w:r>
              <w:rPr>
                <w:rFonts w:cs="Times New Roman"/>
                <w:color w:val="000000"/>
                <w:sz w:val="22"/>
                <w:szCs w:val="22"/>
              </w:rPr>
              <w:t>4</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11B9B121">
            <w:pPr>
              <w:widowControl/>
              <w:spacing w:line="500" w:lineRule="exact"/>
              <w:jc w:val="center"/>
              <w:textAlignment w:val="center"/>
              <w:rPr>
                <w:rFonts w:cs="Times New Roman"/>
                <w:color w:val="000000"/>
                <w:sz w:val="22"/>
                <w:szCs w:val="22"/>
              </w:rPr>
            </w:pPr>
            <w:r>
              <w:rPr>
                <w:rFonts w:cs="Times New Roman"/>
                <w:color w:val="000000"/>
                <w:sz w:val="22"/>
                <w:szCs w:val="22"/>
              </w:rPr>
              <w:t>3.67</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25390D59">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453BB58">
            <w:pPr>
              <w:widowControl/>
              <w:spacing w:line="500" w:lineRule="exact"/>
              <w:jc w:val="center"/>
              <w:textAlignment w:val="center"/>
              <w:rPr>
                <w:rFonts w:cs="Times New Roman"/>
                <w:color w:val="000000"/>
                <w:sz w:val="22"/>
                <w:szCs w:val="22"/>
              </w:rPr>
            </w:pPr>
            <w:r>
              <w:rPr>
                <w:rFonts w:cs="Times New Roman"/>
                <w:color w:val="000000"/>
                <w:sz w:val="22"/>
                <w:szCs w:val="22"/>
              </w:rPr>
              <w:t>5.65</w:t>
            </w:r>
          </w:p>
        </w:tc>
      </w:tr>
      <w:tr w14:paraId="51450777">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B2E1092">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培训费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F7035A1">
            <w:pPr>
              <w:widowControl/>
              <w:spacing w:line="500" w:lineRule="exact"/>
              <w:jc w:val="center"/>
              <w:textAlignment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5B266858">
            <w:pPr>
              <w:widowControl/>
              <w:spacing w:line="500" w:lineRule="exact"/>
              <w:jc w:val="center"/>
              <w:textAlignment w:val="center"/>
              <w:rPr>
                <w:rFonts w:cs="Times New Roman"/>
                <w:color w:val="000000"/>
                <w:sz w:val="22"/>
                <w:szCs w:val="22"/>
              </w:rPr>
            </w:pPr>
            <w:r>
              <w:rPr>
                <w:rFonts w:cs="Times New Roman"/>
                <w:color w:val="000000"/>
                <w:sz w:val="22"/>
                <w:szCs w:val="22"/>
              </w:rPr>
              <w:t>0.05</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2239EA97">
            <w:pPr>
              <w:widowControl/>
              <w:spacing w:line="500" w:lineRule="exact"/>
              <w:jc w:val="center"/>
              <w:textAlignment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F6B1C9A">
            <w:pPr>
              <w:widowControl/>
              <w:spacing w:line="500" w:lineRule="exact"/>
              <w:jc w:val="center"/>
              <w:textAlignment w:val="center"/>
              <w:rPr>
                <w:rFonts w:cs="Times New Roman"/>
                <w:color w:val="000000"/>
                <w:sz w:val="22"/>
                <w:szCs w:val="22"/>
              </w:rPr>
            </w:pPr>
          </w:p>
        </w:tc>
      </w:tr>
      <w:tr w14:paraId="78C51D59">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0EE8BC7">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劳务费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17489A8">
            <w:pPr>
              <w:spacing w:line="500" w:lineRule="exact"/>
              <w:jc w:val="center"/>
              <w:rPr>
                <w:rFonts w:cs="Times New Roman"/>
                <w:color w:val="000000"/>
                <w:sz w:val="22"/>
                <w:szCs w:val="22"/>
              </w:rPr>
            </w:pP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52F16C5F">
            <w:pPr>
              <w:widowControl/>
              <w:spacing w:line="500" w:lineRule="exact"/>
              <w:jc w:val="center"/>
              <w:textAlignment w:val="center"/>
              <w:rPr>
                <w:rFonts w:cs="Times New Roman"/>
                <w:color w:val="000000"/>
                <w:sz w:val="22"/>
                <w:szCs w:val="22"/>
              </w:rPr>
            </w:pPr>
            <w:r>
              <w:rPr>
                <w:rFonts w:cs="Times New Roman"/>
                <w:color w:val="000000"/>
                <w:sz w:val="22"/>
                <w:szCs w:val="22"/>
              </w:rPr>
              <w:t>5.4</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53A652CE">
            <w:pPr>
              <w:spacing w:line="500" w:lineRule="exact"/>
              <w:jc w:val="center"/>
              <w:rPr>
                <w:rFonts w:cs="Times New Roman"/>
                <w:color w:val="000000"/>
                <w:sz w:val="22"/>
                <w:szCs w:val="22"/>
              </w:rPr>
            </w:pP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18345DE5">
            <w:pPr>
              <w:widowControl/>
              <w:spacing w:line="500" w:lineRule="exact"/>
              <w:jc w:val="center"/>
              <w:textAlignment w:val="center"/>
              <w:rPr>
                <w:rFonts w:cs="Times New Roman"/>
                <w:color w:val="000000"/>
                <w:sz w:val="22"/>
                <w:szCs w:val="22"/>
              </w:rPr>
            </w:pPr>
            <w:r>
              <w:rPr>
                <w:rFonts w:cs="Times New Roman"/>
                <w:color w:val="000000"/>
                <w:sz w:val="22"/>
                <w:szCs w:val="22"/>
              </w:rPr>
              <w:t>3.69</w:t>
            </w:r>
          </w:p>
        </w:tc>
      </w:tr>
      <w:tr w14:paraId="66010F87">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47ED8BE3">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工会经费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CCA61D5">
            <w:pPr>
              <w:widowControl/>
              <w:spacing w:line="500" w:lineRule="exact"/>
              <w:jc w:val="center"/>
              <w:textAlignment w:val="center"/>
              <w:rPr>
                <w:rFonts w:cs="Times New Roman"/>
                <w:color w:val="000000"/>
                <w:sz w:val="22"/>
                <w:szCs w:val="22"/>
              </w:rPr>
            </w:pPr>
            <w:r>
              <w:rPr>
                <w:rFonts w:cs="Times New Roman"/>
                <w:color w:val="000000"/>
                <w:sz w:val="22"/>
                <w:szCs w:val="22"/>
              </w:rPr>
              <w:t>4.7</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83245E8">
            <w:pPr>
              <w:widowControl/>
              <w:spacing w:line="500" w:lineRule="exact"/>
              <w:jc w:val="center"/>
              <w:textAlignment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108B6C5E">
            <w:pPr>
              <w:widowControl/>
              <w:spacing w:line="500" w:lineRule="exact"/>
              <w:jc w:val="center"/>
              <w:textAlignment w:val="center"/>
              <w:rPr>
                <w:rFonts w:cs="Times New Roman"/>
                <w:color w:val="000000"/>
                <w:sz w:val="22"/>
                <w:szCs w:val="22"/>
              </w:rPr>
            </w:pPr>
            <w:r>
              <w:rPr>
                <w:rFonts w:cs="Times New Roman"/>
                <w:color w:val="000000"/>
                <w:sz w:val="22"/>
                <w:szCs w:val="22"/>
              </w:rPr>
              <w:t>4.63</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3B5FFF6B">
            <w:pPr>
              <w:widowControl/>
              <w:spacing w:line="500" w:lineRule="exact"/>
              <w:jc w:val="center"/>
              <w:textAlignment w:val="center"/>
              <w:rPr>
                <w:rFonts w:cs="Times New Roman"/>
                <w:color w:val="000000"/>
                <w:sz w:val="22"/>
                <w:szCs w:val="22"/>
              </w:rPr>
            </w:pPr>
            <w:r>
              <w:rPr>
                <w:rFonts w:cs="Times New Roman"/>
                <w:color w:val="000000"/>
                <w:sz w:val="22"/>
                <w:szCs w:val="22"/>
              </w:rPr>
              <w:t>9.96</w:t>
            </w:r>
          </w:p>
        </w:tc>
      </w:tr>
      <w:tr w14:paraId="0641F4A4">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BE34779">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福利费</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0CE15AB">
            <w:pPr>
              <w:widowControl/>
              <w:spacing w:line="500" w:lineRule="exact"/>
              <w:jc w:val="center"/>
              <w:textAlignment w:val="center"/>
              <w:rPr>
                <w:rFonts w:cs="Times New Roman"/>
                <w:color w:val="000000"/>
                <w:sz w:val="22"/>
                <w:szCs w:val="22"/>
              </w:rPr>
            </w:pPr>
            <w:r>
              <w:rPr>
                <w:rFonts w:cs="Times New Roman"/>
                <w:color w:val="000000"/>
                <w:sz w:val="22"/>
                <w:szCs w:val="22"/>
              </w:rPr>
              <w:t>9.79</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381FF11D">
            <w:pPr>
              <w:widowControl/>
              <w:spacing w:line="500" w:lineRule="exact"/>
              <w:jc w:val="center"/>
              <w:textAlignment w:val="center"/>
              <w:rPr>
                <w:rFonts w:cs="Times New Roman"/>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35BF73FA">
            <w:pPr>
              <w:widowControl/>
              <w:spacing w:line="500" w:lineRule="exact"/>
              <w:jc w:val="center"/>
              <w:textAlignment w:val="center"/>
              <w:rPr>
                <w:rFonts w:cs="Times New Roman"/>
                <w:color w:val="000000"/>
                <w:sz w:val="22"/>
                <w:szCs w:val="22"/>
              </w:rPr>
            </w:pPr>
            <w:r>
              <w:rPr>
                <w:rFonts w:cs="Times New Roman"/>
                <w:color w:val="000000"/>
                <w:sz w:val="22"/>
                <w:szCs w:val="22"/>
              </w:rPr>
              <w:t>8.66</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2658EFE9">
            <w:pPr>
              <w:widowControl/>
              <w:spacing w:line="500" w:lineRule="exact"/>
              <w:jc w:val="center"/>
              <w:textAlignment w:val="center"/>
              <w:rPr>
                <w:rFonts w:cs="Times New Roman"/>
                <w:color w:val="000000"/>
                <w:sz w:val="22"/>
                <w:szCs w:val="22"/>
              </w:rPr>
            </w:pPr>
            <w:r>
              <w:rPr>
                <w:rFonts w:cs="Times New Roman"/>
                <w:color w:val="000000"/>
                <w:sz w:val="22"/>
                <w:szCs w:val="22"/>
              </w:rPr>
              <w:t>5.87</w:t>
            </w:r>
          </w:p>
        </w:tc>
      </w:tr>
      <w:tr w14:paraId="00EE9322">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21DD1E51">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其他交通费用</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AB7CEEF">
            <w:pPr>
              <w:widowControl/>
              <w:spacing w:line="500" w:lineRule="exact"/>
              <w:jc w:val="center"/>
              <w:textAlignment w:val="center"/>
              <w:rPr>
                <w:rFonts w:cs="Times New Roman"/>
                <w:color w:val="000000"/>
                <w:sz w:val="22"/>
                <w:szCs w:val="22"/>
              </w:rPr>
            </w:pPr>
            <w:r>
              <w:rPr>
                <w:rFonts w:cs="Times New Roman"/>
                <w:color w:val="000000"/>
                <w:sz w:val="22"/>
                <w:szCs w:val="22"/>
              </w:rPr>
              <w:t>47.51</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61CFBB4E">
            <w:pPr>
              <w:widowControl/>
              <w:spacing w:line="500" w:lineRule="exact"/>
              <w:jc w:val="center"/>
              <w:textAlignment w:val="center"/>
              <w:rPr>
                <w:rFonts w:cs="Times New Roman"/>
                <w:color w:val="000000"/>
                <w:sz w:val="22"/>
                <w:szCs w:val="22"/>
              </w:rPr>
            </w:pPr>
            <w:r>
              <w:rPr>
                <w:rFonts w:cs="Times New Roman"/>
                <w:color w:val="000000"/>
                <w:sz w:val="22"/>
                <w:szCs w:val="22"/>
              </w:rPr>
              <w:t>42.5</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6A4C6770">
            <w:pPr>
              <w:widowControl/>
              <w:spacing w:line="500" w:lineRule="exact"/>
              <w:jc w:val="center"/>
              <w:textAlignment w:val="center"/>
              <w:rPr>
                <w:rFonts w:cs="Times New Roman"/>
                <w:color w:val="000000"/>
                <w:sz w:val="22"/>
                <w:szCs w:val="22"/>
              </w:rPr>
            </w:pPr>
            <w:r>
              <w:rPr>
                <w:rFonts w:cs="Times New Roman"/>
                <w:color w:val="000000"/>
                <w:sz w:val="22"/>
                <w:szCs w:val="22"/>
              </w:rPr>
              <w:t>41.59</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79822FFE">
            <w:pPr>
              <w:widowControl/>
              <w:spacing w:line="500" w:lineRule="exact"/>
              <w:jc w:val="center"/>
              <w:textAlignment w:val="center"/>
              <w:rPr>
                <w:rFonts w:cs="Times New Roman"/>
                <w:color w:val="000000"/>
                <w:sz w:val="22"/>
                <w:szCs w:val="22"/>
              </w:rPr>
            </w:pPr>
            <w:r>
              <w:rPr>
                <w:rFonts w:cs="Times New Roman"/>
                <w:color w:val="000000"/>
                <w:sz w:val="22"/>
                <w:szCs w:val="22"/>
              </w:rPr>
              <w:t>42</w:t>
            </w:r>
          </w:p>
        </w:tc>
      </w:tr>
      <w:tr w14:paraId="4C8714B0">
        <w:tblPrEx>
          <w:tblCellMar>
            <w:top w:w="0" w:type="dxa"/>
            <w:left w:w="108" w:type="dxa"/>
            <w:bottom w:w="0" w:type="dxa"/>
            <w:right w:w="108" w:type="dxa"/>
          </w:tblCellMar>
        </w:tblPrEx>
        <w:trPr>
          <w:wBefore w:w="0" w:type="dxa"/>
          <w:wAfter w:w="0" w:type="dxa"/>
          <w:trHeight w:val="300"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47FFFF63">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其他商品和服务支出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2A67A7">
            <w:pPr>
              <w:widowControl/>
              <w:spacing w:line="500" w:lineRule="exact"/>
              <w:jc w:val="center"/>
              <w:textAlignment w:val="center"/>
              <w:rPr>
                <w:rFonts w:cs="Times New Roman"/>
                <w:color w:val="000000"/>
                <w:sz w:val="22"/>
                <w:szCs w:val="22"/>
              </w:rPr>
            </w:pPr>
            <w:r>
              <w:rPr>
                <w:rFonts w:cs="Times New Roman"/>
                <w:color w:val="000000"/>
                <w:sz w:val="22"/>
                <w:szCs w:val="22"/>
              </w:rPr>
              <w:t>54.73</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282B7ED0">
            <w:pPr>
              <w:widowControl/>
              <w:spacing w:line="500" w:lineRule="exact"/>
              <w:jc w:val="center"/>
              <w:textAlignment w:val="center"/>
              <w:rPr>
                <w:rFonts w:cs="Times New Roman"/>
                <w:color w:val="000000"/>
                <w:sz w:val="22"/>
                <w:szCs w:val="22"/>
              </w:rPr>
            </w:pPr>
            <w:r>
              <w:rPr>
                <w:rFonts w:cs="Times New Roman"/>
                <w:color w:val="000000"/>
                <w:sz w:val="22"/>
                <w:szCs w:val="22"/>
              </w:rPr>
              <w:t>23.59</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9FAB09A">
            <w:pPr>
              <w:widowControl/>
              <w:spacing w:line="500" w:lineRule="exact"/>
              <w:jc w:val="center"/>
              <w:textAlignment w:val="center"/>
              <w:rPr>
                <w:rFonts w:cs="Times New Roman"/>
                <w:color w:val="000000"/>
                <w:sz w:val="22"/>
                <w:szCs w:val="22"/>
              </w:rPr>
            </w:pPr>
            <w:r>
              <w:rPr>
                <w:rFonts w:cs="Times New Roman"/>
                <w:color w:val="000000"/>
                <w:sz w:val="22"/>
                <w:szCs w:val="22"/>
              </w:rPr>
              <w:t>23.43</w:t>
            </w:r>
          </w:p>
        </w:tc>
        <w:tc>
          <w:tcPr>
            <w:tcW w:w="1528" w:type="dxa"/>
            <w:gridSpan w:val="2"/>
            <w:tcBorders>
              <w:top w:val="single" w:color="000000" w:sz="4" w:space="0"/>
              <w:left w:val="single" w:color="000000" w:sz="4" w:space="0"/>
              <w:bottom w:val="single" w:color="000000" w:sz="4" w:space="0"/>
              <w:right w:val="single" w:color="000000" w:sz="4" w:space="0"/>
            </w:tcBorders>
            <w:noWrap w:val="0"/>
            <w:vAlign w:val="center"/>
          </w:tcPr>
          <w:p w14:paraId="63B89EEB">
            <w:pPr>
              <w:widowControl/>
              <w:spacing w:line="500" w:lineRule="exact"/>
              <w:jc w:val="center"/>
              <w:textAlignment w:val="center"/>
              <w:rPr>
                <w:rFonts w:cs="Times New Roman"/>
                <w:color w:val="000000"/>
                <w:sz w:val="22"/>
                <w:szCs w:val="22"/>
              </w:rPr>
            </w:pPr>
            <w:r>
              <w:rPr>
                <w:rFonts w:cs="Times New Roman"/>
                <w:color w:val="000000"/>
                <w:sz w:val="22"/>
                <w:szCs w:val="22"/>
              </w:rPr>
              <w:t>16.86</w:t>
            </w:r>
          </w:p>
        </w:tc>
      </w:tr>
      <w:tr w14:paraId="190E1A44">
        <w:tblPrEx>
          <w:tblCellMar>
            <w:top w:w="0" w:type="dxa"/>
            <w:left w:w="108" w:type="dxa"/>
            <w:bottom w:w="0" w:type="dxa"/>
            <w:right w:w="108" w:type="dxa"/>
          </w:tblCellMar>
        </w:tblPrEx>
        <w:trPr>
          <w:wBefore w:w="0" w:type="dxa"/>
          <w:wAfter w:w="0" w:type="dxa"/>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7B18FD5F">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政府采购金额</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52D9D05">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040DA186">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7191EF48">
            <w:pPr>
              <w:widowControl/>
              <w:spacing w:line="500" w:lineRule="exact"/>
              <w:jc w:val="center"/>
              <w:textAlignment w:val="center"/>
              <w:rPr>
                <w:rFonts w:cs="Times New Roman"/>
                <w:b/>
                <w:bCs/>
                <w:color w:val="000000"/>
                <w:sz w:val="22"/>
                <w:szCs w:val="22"/>
              </w:rPr>
            </w:pPr>
            <w:r>
              <w:rPr>
                <w:rFonts w:cs="Times New Roman"/>
                <w:b/>
                <w:bCs/>
                <w:color w:val="000000"/>
                <w:sz w:val="22"/>
                <w:szCs w:val="22"/>
              </w:rPr>
              <w:t>180</w:t>
            </w:r>
          </w:p>
        </w:tc>
        <w:tc>
          <w:tcPr>
            <w:tcW w:w="1528" w:type="dxa"/>
            <w:gridSpan w:val="2"/>
            <w:tcBorders>
              <w:top w:val="single" w:color="000000" w:sz="4" w:space="0"/>
              <w:left w:val="single" w:color="000000" w:sz="4" w:space="0"/>
              <w:bottom w:val="single" w:color="000000" w:sz="4" w:space="0"/>
              <w:right w:val="single" w:color="000000" w:sz="4" w:space="0"/>
            </w:tcBorders>
            <w:noWrap/>
            <w:vAlign w:val="center"/>
          </w:tcPr>
          <w:p w14:paraId="538CB9D1">
            <w:pPr>
              <w:widowControl/>
              <w:spacing w:line="500" w:lineRule="exact"/>
              <w:jc w:val="center"/>
              <w:textAlignment w:val="center"/>
              <w:rPr>
                <w:rFonts w:cs="Times New Roman"/>
                <w:b/>
                <w:bCs/>
                <w:color w:val="000000"/>
                <w:sz w:val="24"/>
                <w:szCs w:val="24"/>
              </w:rPr>
            </w:pPr>
            <w:r>
              <w:rPr>
                <w:rFonts w:cs="Times New Roman"/>
                <w:b/>
                <w:bCs/>
                <w:color w:val="000000"/>
                <w:sz w:val="24"/>
                <w:szCs w:val="24"/>
              </w:rPr>
              <w:t>192.68</w:t>
            </w:r>
          </w:p>
        </w:tc>
      </w:tr>
      <w:tr w14:paraId="3E1C63C7">
        <w:tblPrEx>
          <w:tblCellMar>
            <w:top w:w="0" w:type="dxa"/>
            <w:left w:w="108" w:type="dxa"/>
            <w:bottom w:w="0" w:type="dxa"/>
            <w:right w:w="108" w:type="dxa"/>
          </w:tblCellMar>
        </w:tblPrEx>
        <w:trPr>
          <w:wBefore w:w="0" w:type="dxa"/>
          <w:wAfter w:w="0" w:type="dxa"/>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240FCAB6">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部门整体支出预算调整</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8F41C85">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14:paraId="411879FD">
            <w:pPr>
              <w:widowControl/>
              <w:spacing w:line="500" w:lineRule="exact"/>
              <w:jc w:val="center"/>
              <w:textAlignment w:val="center"/>
              <w:rPr>
                <w:rFonts w:cs="Times New Roman"/>
                <w:b/>
                <w:bCs/>
                <w:color w:val="000000"/>
                <w:sz w:val="22"/>
                <w:szCs w:val="22"/>
              </w:rPr>
            </w:pPr>
            <w:r>
              <w:rPr>
                <w:rFonts w:cs="Times New Roman"/>
                <w:b/>
                <w:bCs/>
                <w:color w:val="000000"/>
                <w:kern w:val="0"/>
                <w:sz w:val="22"/>
                <w:szCs w:val="22"/>
                <w:lang w:bidi="ar"/>
              </w:rPr>
              <w:t>——</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5E482105">
            <w:pPr>
              <w:widowControl/>
              <w:spacing w:line="500" w:lineRule="exact"/>
              <w:jc w:val="center"/>
              <w:textAlignment w:val="center"/>
              <w:rPr>
                <w:rFonts w:cs="Times New Roman"/>
                <w:b/>
                <w:bCs/>
                <w:color w:val="000000"/>
                <w:sz w:val="22"/>
                <w:szCs w:val="22"/>
              </w:rPr>
            </w:pPr>
            <w:r>
              <w:rPr>
                <w:rFonts w:cs="Times New Roman"/>
                <w:b/>
                <w:bCs/>
                <w:color w:val="000000"/>
                <w:sz w:val="22"/>
                <w:szCs w:val="22"/>
              </w:rPr>
              <w:t>1476</w:t>
            </w:r>
          </w:p>
        </w:tc>
        <w:tc>
          <w:tcPr>
            <w:tcW w:w="1528" w:type="dxa"/>
            <w:gridSpan w:val="2"/>
            <w:tcBorders>
              <w:top w:val="single" w:color="000000" w:sz="4" w:space="0"/>
              <w:left w:val="single" w:color="000000" w:sz="4" w:space="0"/>
              <w:bottom w:val="single" w:color="000000" w:sz="4" w:space="0"/>
              <w:right w:val="single" w:color="000000" w:sz="4" w:space="0"/>
            </w:tcBorders>
            <w:noWrap/>
            <w:vAlign w:val="center"/>
          </w:tcPr>
          <w:p w14:paraId="2AE2C893">
            <w:pPr>
              <w:widowControl/>
              <w:spacing w:line="500" w:lineRule="exact"/>
              <w:jc w:val="center"/>
              <w:textAlignment w:val="center"/>
              <w:rPr>
                <w:rFonts w:cs="Times New Roman"/>
                <w:b/>
                <w:bCs/>
                <w:color w:val="000000"/>
                <w:sz w:val="24"/>
                <w:szCs w:val="24"/>
              </w:rPr>
            </w:pPr>
            <w:r>
              <w:rPr>
                <w:rFonts w:cs="Times New Roman"/>
                <w:b/>
                <w:bCs/>
                <w:color w:val="000000"/>
                <w:sz w:val="24"/>
                <w:szCs w:val="24"/>
              </w:rPr>
              <w:t>1762.01</w:t>
            </w:r>
          </w:p>
        </w:tc>
      </w:tr>
      <w:tr w14:paraId="5F779EB3">
        <w:tblPrEx>
          <w:tblCellMar>
            <w:top w:w="0" w:type="dxa"/>
            <w:left w:w="108" w:type="dxa"/>
            <w:bottom w:w="0" w:type="dxa"/>
            <w:right w:w="108" w:type="dxa"/>
          </w:tblCellMar>
        </w:tblPrEx>
        <w:trPr>
          <w:wBefore w:w="0" w:type="dxa"/>
          <w:wAfter w:w="0" w:type="dxa"/>
          <w:trHeight w:val="525" w:hRule="atLeast"/>
          <w:jc w:val="center"/>
        </w:trPr>
        <w:tc>
          <w:tcPr>
            <w:tcW w:w="3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8495D0">
            <w:pPr>
              <w:widowControl/>
              <w:spacing w:line="500" w:lineRule="exact"/>
              <w:jc w:val="center"/>
              <w:textAlignment w:val="center"/>
              <w:rPr>
                <w:rFonts w:eastAsia="仿宋" w:cs="Times New Roman"/>
                <w:b/>
                <w:bCs/>
                <w:color w:val="000000"/>
                <w:kern w:val="0"/>
                <w:sz w:val="22"/>
                <w:szCs w:val="22"/>
                <w:lang w:bidi="ar"/>
              </w:rPr>
            </w:pPr>
            <w:r>
              <w:rPr>
                <w:rFonts w:eastAsia="仿宋" w:cs="Times New Roman"/>
                <w:b/>
                <w:bCs/>
                <w:color w:val="000000"/>
                <w:kern w:val="0"/>
                <w:sz w:val="22"/>
                <w:szCs w:val="22"/>
                <w:lang w:bidi="ar"/>
              </w:rPr>
              <w:t>楼堂馆所控制情况</w:t>
            </w:r>
          </w:p>
          <w:p w14:paraId="4A0EEB5D">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    年完工项目）</w:t>
            </w:r>
          </w:p>
        </w:tc>
        <w:tc>
          <w:tcPr>
            <w:tcW w:w="18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B12F9">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无</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616E0">
            <w:pPr>
              <w:widowControl/>
              <w:spacing w:line="500" w:lineRule="exact"/>
              <w:jc w:val="center"/>
              <w:textAlignment w:val="center"/>
              <w:rPr>
                <w:rFonts w:eastAsia="仿宋" w:cs="Times New Roman"/>
                <w:color w:val="000000"/>
                <w:sz w:val="20"/>
                <w:szCs w:val="20"/>
              </w:rPr>
            </w:pPr>
            <w:r>
              <w:rPr>
                <w:rFonts w:eastAsia="仿宋" w:cs="Times New Roman"/>
                <w:color w:val="000000"/>
                <w:kern w:val="0"/>
                <w:sz w:val="20"/>
                <w:szCs w:val="20"/>
                <w:lang w:bidi="ar"/>
              </w:rPr>
              <w:t>批复规模（㎡）</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ACE2A1">
            <w:pPr>
              <w:widowControl/>
              <w:spacing w:line="500" w:lineRule="exact"/>
              <w:jc w:val="center"/>
              <w:textAlignment w:val="center"/>
              <w:rPr>
                <w:rFonts w:eastAsia="仿宋" w:cs="Times New Roman"/>
                <w:color w:val="000000"/>
                <w:sz w:val="20"/>
                <w:szCs w:val="20"/>
              </w:rPr>
            </w:pPr>
            <w:r>
              <w:rPr>
                <w:rFonts w:eastAsia="仿宋" w:cs="Times New Roman"/>
                <w:color w:val="000000"/>
                <w:kern w:val="0"/>
                <w:sz w:val="20"/>
                <w:szCs w:val="20"/>
                <w:lang w:bidi="ar"/>
              </w:rPr>
              <w:t>实际规模（㎡）</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F37CD">
            <w:pPr>
              <w:widowControl/>
              <w:spacing w:line="500" w:lineRule="exact"/>
              <w:jc w:val="center"/>
              <w:textAlignment w:val="center"/>
              <w:rPr>
                <w:rFonts w:eastAsia="仿宋" w:cs="Times New Roman"/>
                <w:color w:val="000000"/>
                <w:kern w:val="0"/>
                <w:sz w:val="20"/>
                <w:szCs w:val="20"/>
                <w:lang w:bidi="ar"/>
              </w:rPr>
            </w:pPr>
            <w:r>
              <w:rPr>
                <w:rFonts w:eastAsia="仿宋" w:cs="Times New Roman"/>
                <w:color w:val="000000"/>
                <w:kern w:val="0"/>
                <w:sz w:val="20"/>
                <w:szCs w:val="20"/>
                <w:lang w:bidi="ar"/>
              </w:rPr>
              <w:t>规模</w:t>
            </w:r>
          </w:p>
          <w:p w14:paraId="03BF27AE">
            <w:pPr>
              <w:widowControl/>
              <w:spacing w:line="500" w:lineRule="exact"/>
              <w:jc w:val="center"/>
              <w:textAlignment w:val="center"/>
              <w:rPr>
                <w:rFonts w:eastAsia="仿宋" w:cs="Times New Roman"/>
                <w:color w:val="000000"/>
                <w:kern w:val="0"/>
                <w:sz w:val="20"/>
                <w:szCs w:val="20"/>
                <w:lang w:bidi="ar"/>
              </w:rPr>
            </w:pPr>
            <w:r>
              <w:rPr>
                <w:rFonts w:eastAsia="仿宋" w:cs="Times New Roman"/>
                <w:kern w:val="0"/>
                <w:sz w:val="20"/>
                <w:szCs w:val="20"/>
              </w:rPr>
              <w:t>控制率</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A2BB9">
            <w:pPr>
              <w:widowControl/>
              <w:spacing w:line="500" w:lineRule="exact"/>
              <w:jc w:val="center"/>
              <w:textAlignment w:val="center"/>
              <w:rPr>
                <w:rFonts w:eastAsia="仿宋" w:cs="Times New Roman"/>
                <w:color w:val="000000"/>
                <w:sz w:val="20"/>
                <w:szCs w:val="20"/>
              </w:rPr>
            </w:pPr>
            <w:r>
              <w:rPr>
                <w:rFonts w:eastAsia="仿宋" w:cs="Times New Roman"/>
                <w:color w:val="000000"/>
                <w:kern w:val="0"/>
                <w:sz w:val="20"/>
                <w:szCs w:val="20"/>
                <w:lang w:bidi="ar"/>
              </w:rPr>
              <w:t>预算投资</w:t>
            </w:r>
          </w:p>
        </w:tc>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257AC">
            <w:pPr>
              <w:widowControl/>
              <w:spacing w:line="500" w:lineRule="exact"/>
              <w:jc w:val="center"/>
              <w:textAlignment w:val="center"/>
              <w:rPr>
                <w:rFonts w:eastAsia="仿宋" w:cs="Times New Roman"/>
                <w:color w:val="000000"/>
                <w:sz w:val="20"/>
                <w:szCs w:val="20"/>
              </w:rPr>
            </w:pPr>
            <w:r>
              <w:rPr>
                <w:rFonts w:eastAsia="仿宋" w:cs="Times New Roman"/>
                <w:color w:val="000000"/>
                <w:kern w:val="0"/>
                <w:sz w:val="20"/>
                <w:szCs w:val="20"/>
                <w:lang w:bidi="ar"/>
              </w:rPr>
              <w:t>实际投资</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4096B">
            <w:pPr>
              <w:widowControl/>
              <w:spacing w:line="500" w:lineRule="exact"/>
              <w:jc w:val="center"/>
              <w:textAlignment w:val="center"/>
              <w:rPr>
                <w:rFonts w:eastAsia="仿宋" w:cs="Times New Roman"/>
                <w:color w:val="000000"/>
                <w:sz w:val="20"/>
                <w:szCs w:val="20"/>
              </w:rPr>
            </w:pPr>
            <w:r>
              <w:rPr>
                <w:rFonts w:eastAsia="仿宋" w:cs="Times New Roman"/>
                <w:color w:val="000000"/>
                <w:kern w:val="0"/>
                <w:sz w:val="20"/>
                <w:szCs w:val="20"/>
                <w:lang w:bidi="ar"/>
              </w:rPr>
              <w:t>投资概算控制率</w:t>
            </w:r>
          </w:p>
        </w:tc>
      </w:tr>
      <w:tr w14:paraId="3BC73238">
        <w:tblPrEx>
          <w:tblCellMar>
            <w:top w:w="0" w:type="dxa"/>
            <w:left w:w="108" w:type="dxa"/>
            <w:bottom w:w="0" w:type="dxa"/>
            <w:right w:w="108" w:type="dxa"/>
          </w:tblCellMar>
        </w:tblPrEx>
        <w:trPr>
          <w:wBefore w:w="0" w:type="dxa"/>
          <w:wAfter w:w="0" w:type="dxa"/>
          <w:trHeight w:val="500" w:hRule="atLeast"/>
          <w:jc w:val="center"/>
        </w:trPr>
        <w:tc>
          <w:tcPr>
            <w:tcW w:w="3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9E65A">
            <w:pPr>
              <w:spacing w:line="500" w:lineRule="exact"/>
              <w:jc w:val="center"/>
              <w:rPr>
                <w:rFonts w:eastAsia="仿宋" w:cs="Times New Roman"/>
                <w:b/>
                <w:bCs/>
                <w:color w:val="000000"/>
                <w:sz w:val="22"/>
                <w:szCs w:val="22"/>
              </w:rPr>
            </w:pPr>
          </w:p>
        </w:tc>
        <w:tc>
          <w:tcPr>
            <w:tcW w:w="1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D4B19">
            <w:pPr>
              <w:spacing w:line="500" w:lineRule="exact"/>
              <w:jc w:val="center"/>
              <w:rPr>
                <w:rFonts w:eastAsia="仿宋" w:cs="Times New Roman"/>
                <w:color w:val="000000"/>
                <w:sz w:val="22"/>
                <w:szCs w:val="22"/>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FC1F0">
            <w:pPr>
              <w:spacing w:line="500" w:lineRule="exact"/>
              <w:jc w:val="center"/>
              <w:rPr>
                <w:rFonts w:eastAsia="仿宋" w:cs="Times New Roman"/>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28B4">
            <w:pPr>
              <w:spacing w:line="500" w:lineRule="exact"/>
              <w:jc w:val="center"/>
              <w:rPr>
                <w:rFonts w:eastAsia="仿宋" w:cs="Times New Roman"/>
                <w:color w:val="000000"/>
                <w:sz w:val="20"/>
                <w:szCs w:val="20"/>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4FDDE">
            <w:pPr>
              <w:spacing w:line="500" w:lineRule="exact"/>
              <w:jc w:val="center"/>
              <w:rPr>
                <w:rFonts w:eastAsia="仿宋" w:cs="Times New Roman"/>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09C07">
            <w:pPr>
              <w:spacing w:line="500" w:lineRule="exact"/>
              <w:jc w:val="center"/>
              <w:rPr>
                <w:rFonts w:eastAsia="仿宋" w:cs="Times New Roman"/>
                <w:color w:val="000000"/>
                <w:sz w:val="20"/>
                <w:szCs w:val="20"/>
              </w:rPr>
            </w:pPr>
          </w:p>
        </w:tc>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0C673">
            <w:pPr>
              <w:spacing w:line="500" w:lineRule="exact"/>
              <w:jc w:val="center"/>
              <w:rPr>
                <w:rFonts w:eastAsia="仿宋" w:cs="Times New Roman"/>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B9D5D">
            <w:pPr>
              <w:spacing w:line="500" w:lineRule="exact"/>
              <w:jc w:val="center"/>
              <w:rPr>
                <w:rFonts w:eastAsia="仿宋" w:cs="Times New Roman"/>
                <w:color w:val="000000"/>
                <w:sz w:val="20"/>
                <w:szCs w:val="20"/>
              </w:rPr>
            </w:pPr>
          </w:p>
        </w:tc>
      </w:tr>
      <w:tr w14:paraId="6C031E9C">
        <w:tblPrEx>
          <w:tblCellMar>
            <w:top w:w="0" w:type="dxa"/>
            <w:left w:w="108" w:type="dxa"/>
            <w:bottom w:w="0" w:type="dxa"/>
            <w:right w:w="108" w:type="dxa"/>
          </w:tblCellMar>
        </w:tblPrEx>
        <w:trPr>
          <w:wBefore w:w="0" w:type="dxa"/>
          <w:wAfter w:w="0" w:type="dxa"/>
          <w:trHeight w:val="492" w:hRule="atLeast"/>
          <w:jc w:val="center"/>
        </w:trPr>
        <w:tc>
          <w:tcPr>
            <w:tcW w:w="3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3BDEE">
            <w:pPr>
              <w:spacing w:line="500" w:lineRule="exact"/>
              <w:jc w:val="center"/>
              <w:rPr>
                <w:rFonts w:eastAsia="仿宋" w:cs="Times New Roman"/>
                <w:b/>
                <w:bCs/>
                <w:color w:val="000000"/>
                <w:sz w:val="22"/>
                <w:szCs w:val="22"/>
              </w:rPr>
            </w:pPr>
          </w:p>
        </w:tc>
        <w:tc>
          <w:tcPr>
            <w:tcW w:w="18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88510">
            <w:pPr>
              <w:spacing w:line="500" w:lineRule="exact"/>
              <w:jc w:val="center"/>
              <w:rPr>
                <w:rFonts w:eastAsia="仿宋" w:cs="Times New Roman"/>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104755">
            <w:pPr>
              <w:spacing w:line="500" w:lineRule="exact"/>
              <w:jc w:val="center"/>
              <w:rPr>
                <w:rFonts w:cs="Times New Roman"/>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438314">
            <w:pPr>
              <w:spacing w:line="500" w:lineRule="exact"/>
              <w:jc w:val="center"/>
              <w:rPr>
                <w:rFonts w:cs="Times New Roman"/>
                <w:color w:val="000000"/>
                <w:sz w:val="22"/>
                <w:szCs w:val="22"/>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454D1C2">
            <w:pPr>
              <w:spacing w:line="500" w:lineRule="exact"/>
              <w:jc w:val="center"/>
              <w:rPr>
                <w:rFonts w:cs="Times New Roman"/>
                <w:color w:val="000000"/>
                <w:sz w:val="22"/>
                <w:szCs w:val="22"/>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3A9A4E">
            <w:pPr>
              <w:spacing w:line="500" w:lineRule="exact"/>
              <w:jc w:val="center"/>
              <w:rPr>
                <w:rFonts w:cs="Times New Roman"/>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23C532B">
            <w:pPr>
              <w:spacing w:line="500" w:lineRule="exact"/>
              <w:jc w:val="center"/>
              <w:rPr>
                <w:rFonts w:cs="Times New Roman"/>
                <w:color w:val="000000"/>
                <w:sz w:val="22"/>
                <w:szCs w:val="22"/>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251E75F">
            <w:pPr>
              <w:spacing w:line="500" w:lineRule="exact"/>
              <w:jc w:val="center"/>
              <w:rPr>
                <w:rFonts w:cs="Times New Roman"/>
                <w:color w:val="000000"/>
                <w:sz w:val="22"/>
                <w:szCs w:val="22"/>
              </w:rPr>
            </w:pPr>
          </w:p>
        </w:tc>
      </w:tr>
      <w:tr w14:paraId="333C363D">
        <w:tblPrEx>
          <w:tblCellMar>
            <w:top w:w="0" w:type="dxa"/>
            <w:left w:w="108" w:type="dxa"/>
            <w:bottom w:w="0" w:type="dxa"/>
            <w:right w:w="108" w:type="dxa"/>
          </w:tblCellMar>
        </w:tblPrEx>
        <w:trPr>
          <w:wBefore w:w="0" w:type="dxa"/>
          <w:wAfter w:w="0" w:type="dxa"/>
          <w:trHeight w:val="1009"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14:paraId="3D04C038">
            <w:pPr>
              <w:widowControl/>
              <w:spacing w:line="500" w:lineRule="exact"/>
              <w:jc w:val="center"/>
              <w:textAlignment w:val="center"/>
              <w:rPr>
                <w:rFonts w:eastAsia="仿宋" w:cs="Times New Roman"/>
                <w:b/>
                <w:bCs/>
                <w:color w:val="000000"/>
                <w:sz w:val="22"/>
                <w:szCs w:val="22"/>
              </w:rPr>
            </w:pPr>
            <w:r>
              <w:rPr>
                <w:rFonts w:eastAsia="仿宋" w:cs="Times New Roman"/>
                <w:b/>
                <w:bCs/>
                <w:color w:val="000000"/>
                <w:kern w:val="0"/>
                <w:sz w:val="22"/>
                <w:szCs w:val="22"/>
                <w:lang w:bidi="ar"/>
              </w:rPr>
              <w:t>厉行节约保障措施</w:t>
            </w:r>
          </w:p>
        </w:tc>
        <w:tc>
          <w:tcPr>
            <w:tcW w:w="6750" w:type="dxa"/>
            <w:gridSpan w:val="7"/>
            <w:tcBorders>
              <w:top w:val="single" w:color="000000" w:sz="4" w:space="0"/>
              <w:left w:val="single" w:color="000000" w:sz="4" w:space="0"/>
              <w:bottom w:val="single" w:color="000000" w:sz="4" w:space="0"/>
              <w:right w:val="single" w:color="000000" w:sz="4" w:space="0"/>
            </w:tcBorders>
            <w:noWrap w:val="0"/>
            <w:vAlign w:val="center"/>
          </w:tcPr>
          <w:p w14:paraId="27DC8414">
            <w:pPr>
              <w:widowControl/>
              <w:spacing w:line="500" w:lineRule="exact"/>
              <w:jc w:val="center"/>
              <w:textAlignment w:val="center"/>
              <w:rPr>
                <w:rFonts w:eastAsia="仿宋" w:cs="Times New Roman"/>
                <w:color w:val="000000"/>
                <w:sz w:val="22"/>
                <w:szCs w:val="22"/>
              </w:rPr>
            </w:pPr>
            <w:r>
              <w:rPr>
                <w:rFonts w:eastAsia="仿宋" w:cs="Times New Roman"/>
                <w:color w:val="000000"/>
                <w:kern w:val="0"/>
                <w:sz w:val="22"/>
                <w:szCs w:val="22"/>
                <w:lang w:bidi="ar"/>
              </w:rPr>
              <w:t>制定了</w:t>
            </w:r>
            <w:r>
              <w:rPr>
                <w:rStyle w:val="139"/>
                <w:rFonts w:eastAsia="仿宋"/>
                <w:lang w:bidi="ar"/>
              </w:rPr>
              <w:t xml:space="preserve"> </w:t>
            </w:r>
            <w:r>
              <w:rPr>
                <w:rStyle w:val="140"/>
                <w:rFonts w:hint="default" w:ascii="Times New Roman" w:hAnsi="Times New Roman" w:cs="Times New Roman"/>
                <w:lang w:bidi="ar"/>
              </w:rPr>
              <w:t>《</w:t>
            </w:r>
            <w:r>
              <w:rPr>
                <w:rStyle w:val="138"/>
                <w:rFonts w:hint="default" w:ascii="Times New Roman" w:hAnsi="Times New Roman" w:cs="Times New Roman"/>
                <w:lang w:bidi="ar"/>
              </w:rPr>
              <w:t>公务接待管理规定</w:t>
            </w:r>
            <w:r>
              <w:rPr>
                <w:rStyle w:val="140"/>
                <w:rFonts w:hint="default" w:ascii="Times New Roman" w:hAnsi="Times New Roman" w:cs="Times New Roman"/>
                <w:lang w:bidi="ar"/>
              </w:rPr>
              <w:t>》、</w:t>
            </w:r>
            <w:r>
              <w:rPr>
                <w:rFonts w:eastAsia="仿宋" w:cs="Times New Roman"/>
                <w:color w:val="000000"/>
                <w:kern w:val="0"/>
                <w:sz w:val="22"/>
                <w:szCs w:val="22"/>
                <w:lang w:bidi="ar"/>
              </w:rPr>
              <w:t>《关于财务报账的若干规定》、《采购办公用品、办公家具及办公设备的规定》</w:t>
            </w:r>
          </w:p>
        </w:tc>
      </w:tr>
    </w:tbl>
    <w:p w14:paraId="5DA7779F">
      <w:pPr>
        <w:widowControl/>
        <w:spacing w:line="560" w:lineRule="exact"/>
        <w:ind w:firstLine="640"/>
        <w:rPr>
          <w:rFonts w:eastAsia="黑体" w:cs="Times New Roman"/>
          <w:color w:val="000000"/>
          <w:sz w:val="32"/>
          <w:szCs w:val="32"/>
        </w:rPr>
      </w:pPr>
    </w:p>
    <w:p w14:paraId="5297110E">
      <w:pPr>
        <w:widowControl/>
        <w:ind w:firstLine="480" w:firstLineChars="200"/>
        <w:jc w:val="left"/>
        <w:rPr>
          <w:rFonts w:cs="Times New Roman"/>
          <w:color w:val="000000"/>
          <w:sz w:val="24"/>
          <w:szCs w:val="24"/>
        </w:rPr>
      </w:pPr>
    </w:p>
    <w:sectPr>
      <w:pgSz w:w="11906" w:h="16838"/>
      <w:pgMar w:top="2098" w:right="1418" w:bottom="1985"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E1FE">
    <w:pPr>
      <w:pStyle w:val="14"/>
      <w:ind w:right="28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p w14:paraId="2B4C9CE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3852">
    <w:pPr>
      <w:pStyle w:val="14"/>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p w14:paraId="1345F6EF">
    <w:pPr>
      <w:pStyle w:val="1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2I0Y2VkNzFjMWI1ZTQ2MTlkYWZmODE3ZTc0MGQifQ=="/>
  </w:docVars>
  <w:rsids>
    <w:rsidRoot w:val="007974AB"/>
    <w:rsid w:val="0000298E"/>
    <w:rsid w:val="00002AE4"/>
    <w:rsid w:val="00031747"/>
    <w:rsid w:val="0003456A"/>
    <w:rsid w:val="00035C47"/>
    <w:rsid w:val="00037035"/>
    <w:rsid w:val="000469BA"/>
    <w:rsid w:val="000516DC"/>
    <w:rsid w:val="00053F71"/>
    <w:rsid w:val="000552F3"/>
    <w:rsid w:val="00056B04"/>
    <w:rsid w:val="00070B5F"/>
    <w:rsid w:val="00071347"/>
    <w:rsid w:val="00072AEB"/>
    <w:rsid w:val="000747B8"/>
    <w:rsid w:val="00075715"/>
    <w:rsid w:val="00083406"/>
    <w:rsid w:val="00085A99"/>
    <w:rsid w:val="00087EA5"/>
    <w:rsid w:val="00091B80"/>
    <w:rsid w:val="00092609"/>
    <w:rsid w:val="000A226C"/>
    <w:rsid w:val="000A6E3A"/>
    <w:rsid w:val="000B1FC2"/>
    <w:rsid w:val="000D6179"/>
    <w:rsid w:val="000E240C"/>
    <w:rsid w:val="000E35F0"/>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54840"/>
    <w:rsid w:val="00160267"/>
    <w:rsid w:val="00160613"/>
    <w:rsid w:val="00160B34"/>
    <w:rsid w:val="0016425E"/>
    <w:rsid w:val="00167BE7"/>
    <w:rsid w:val="00176C58"/>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3794"/>
    <w:rsid w:val="001F6D73"/>
    <w:rsid w:val="00205440"/>
    <w:rsid w:val="002102DB"/>
    <w:rsid w:val="002129C1"/>
    <w:rsid w:val="00214D7C"/>
    <w:rsid w:val="00221B76"/>
    <w:rsid w:val="00222E30"/>
    <w:rsid w:val="00225256"/>
    <w:rsid w:val="002305A2"/>
    <w:rsid w:val="00231C6E"/>
    <w:rsid w:val="00232F9D"/>
    <w:rsid w:val="0023666C"/>
    <w:rsid w:val="002367FF"/>
    <w:rsid w:val="00243D27"/>
    <w:rsid w:val="00254482"/>
    <w:rsid w:val="00261A82"/>
    <w:rsid w:val="0026227A"/>
    <w:rsid w:val="00267EB4"/>
    <w:rsid w:val="00273F87"/>
    <w:rsid w:val="00286A75"/>
    <w:rsid w:val="00291511"/>
    <w:rsid w:val="00292E06"/>
    <w:rsid w:val="002A1611"/>
    <w:rsid w:val="002A336C"/>
    <w:rsid w:val="002A3ED2"/>
    <w:rsid w:val="002A4788"/>
    <w:rsid w:val="002B12CB"/>
    <w:rsid w:val="002B1E16"/>
    <w:rsid w:val="002B2BEF"/>
    <w:rsid w:val="002B778F"/>
    <w:rsid w:val="002C064D"/>
    <w:rsid w:val="002D6D4A"/>
    <w:rsid w:val="002E1DF4"/>
    <w:rsid w:val="002E2367"/>
    <w:rsid w:val="002E4944"/>
    <w:rsid w:val="002F7643"/>
    <w:rsid w:val="00303890"/>
    <w:rsid w:val="003053A5"/>
    <w:rsid w:val="0031038E"/>
    <w:rsid w:val="003134F7"/>
    <w:rsid w:val="00313CA6"/>
    <w:rsid w:val="00317AB2"/>
    <w:rsid w:val="00324952"/>
    <w:rsid w:val="00332598"/>
    <w:rsid w:val="00341012"/>
    <w:rsid w:val="00342BE8"/>
    <w:rsid w:val="00344B65"/>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0461"/>
    <w:rsid w:val="003A4ACA"/>
    <w:rsid w:val="003A7FDD"/>
    <w:rsid w:val="003B23EB"/>
    <w:rsid w:val="003B2F4F"/>
    <w:rsid w:val="003B7FA2"/>
    <w:rsid w:val="003D3DB7"/>
    <w:rsid w:val="003D4854"/>
    <w:rsid w:val="003E3CB2"/>
    <w:rsid w:val="003E52E4"/>
    <w:rsid w:val="00404BE5"/>
    <w:rsid w:val="00410AE1"/>
    <w:rsid w:val="00410FF6"/>
    <w:rsid w:val="00411330"/>
    <w:rsid w:val="00412456"/>
    <w:rsid w:val="00417BC1"/>
    <w:rsid w:val="0042330A"/>
    <w:rsid w:val="00427D9D"/>
    <w:rsid w:val="00430DC1"/>
    <w:rsid w:val="00431F52"/>
    <w:rsid w:val="00434B10"/>
    <w:rsid w:val="00446CFB"/>
    <w:rsid w:val="004506ED"/>
    <w:rsid w:val="004527DA"/>
    <w:rsid w:val="004561C6"/>
    <w:rsid w:val="004621CC"/>
    <w:rsid w:val="00464073"/>
    <w:rsid w:val="00473D54"/>
    <w:rsid w:val="00477B78"/>
    <w:rsid w:val="00481926"/>
    <w:rsid w:val="00482DA2"/>
    <w:rsid w:val="00483F92"/>
    <w:rsid w:val="004948B2"/>
    <w:rsid w:val="00496F6D"/>
    <w:rsid w:val="004A0757"/>
    <w:rsid w:val="004B09F8"/>
    <w:rsid w:val="004B56B4"/>
    <w:rsid w:val="004C2AEE"/>
    <w:rsid w:val="004D5F90"/>
    <w:rsid w:val="004E1AF5"/>
    <w:rsid w:val="004E2593"/>
    <w:rsid w:val="004E394D"/>
    <w:rsid w:val="004E6E44"/>
    <w:rsid w:val="004F4E0C"/>
    <w:rsid w:val="004F53C1"/>
    <w:rsid w:val="00505F55"/>
    <w:rsid w:val="00507BC7"/>
    <w:rsid w:val="00510B86"/>
    <w:rsid w:val="00515340"/>
    <w:rsid w:val="00536A21"/>
    <w:rsid w:val="005377C3"/>
    <w:rsid w:val="00542882"/>
    <w:rsid w:val="005438D0"/>
    <w:rsid w:val="0054486C"/>
    <w:rsid w:val="005473E0"/>
    <w:rsid w:val="0055022D"/>
    <w:rsid w:val="00550C9A"/>
    <w:rsid w:val="00553BA4"/>
    <w:rsid w:val="0057789D"/>
    <w:rsid w:val="00585BED"/>
    <w:rsid w:val="00587C92"/>
    <w:rsid w:val="005916AB"/>
    <w:rsid w:val="00591928"/>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04546"/>
    <w:rsid w:val="0061181B"/>
    <w:rsid w:val="00613C56"/>
    <w:rsid w:val="0061768E"/>
    <w:rsid w:val="00620930"/>
    <w:rsid w:val="00640E29"/>
    <w:rsid w:val="006412C9"/>
    <w:rsid w:val="006477FB"/>
    <w:rsid w:val="00655F15"/>
    <w:rsid w:val="00661AED"/>
    <w:rsid w:val="0066304C"/>
    <w:rsid w:val="00664139"/>
    <w:rsid w:val="00666EBB"/>
    <w:rsid w:val="00671561"/>
    <w:rsid w:val="00672718"/>
    <w:rsid w:val="006769A7"/>
    <w:rsid w:val="00676BCC"/>
    <w:rsid w:val="0067774C"/>
    <w:rsid w:val="00682EDF"/>
    <w:rsid w:val="00683649"/>
    <w:rsid w:val="006858E7"/>
    <w:rsid w:val="00686123"/>
    <w:rsid w:val="00687554"/>
    <w:rsid w:val="00693448"/>
    <w:rsid w:val="00695008"/>
    <w:rsid w:val="006A3A89"/>
    <w:rsid w:val="006A6FDC"/>
    <w:rsid w:val="006C0120"/>
    <w:rsid w:val="006C3E4B"/>
    <w:rsid w:val="006C5D54"/>
    <w:rsid w:val="006D0B0B"/>
    <w:rsid w:val="006D0B89"/>
    <w:rsid w:val="006E4E54"/>
    <w:rsid w:val="006F1419"/>
    <w:rsid w:val="00700CD4"/>
    <w:rsid w:val="00701DF4"/>
    <w:rsid w:val="00704174"/>
    <w:rsid w:val="00704536"/>
    <w:rsid w:val="007110E7"/>
    <w:rsid w:val="0071201B"/>
    <w:rsid w:val="00717347"/>
    <w:rsid w:val="00723411"/>
    <w:rsid w:val="00723417"/>
    <w:rsid w:val="00726EB3"/>
    <w:rsid w:val="007349D4"/>
    <w:rsid w:val="00737891"/>
    <w:rsid w:val="00754120"/>
    <w:rsid w:val="00756B93"/>
    <w:rsid w:val="0076124E"/>
    <w:rsid w:val="007707CC"/>
    <w:rsid w:val="00770932"/>
    <w:rsid w:val="0077217D"/>
    <w:rsid w:val="00784182"/>
    <w:rsid w:val="00786728"/>
    <w:rsid w:val="00786A9F"/>
    <w:rsid w:val="00793BCC"/>
    <w:rsid w:val="007974AB"/>
    <w:rsid w:val="007A0A4C"/>
    <w:rsid w:val="007A68B8"/>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059D7"/>
    <w:rsid w:val="00805C9E"/>
    <w:rsid w:val="00827E67"/>
    <w:rsid w:val="00832102"/>
    <w:rsid w:val="008322BB"/>
    <w:rsid w:val="00833FA8"/>
    <w:rsid w:val="008442A9"/>
    <w:rsid w:val="0084564C"/>
    <w:rsid w:val="00847DE1"/>
    <w:rsid w:val="00851F1E"/>
    <w:rsid w:val="008547F9"/>
    <w:rsid w:val="008662AB"/>
    <w:rsid w:val="00867DE4"/>
    <w:rsid w:val="00885497"/>
    <w:rsid w:val="008862A7"/>
    <w:rsid w:val="00892869"/>
    <w:rsid w:val="008B03AA"/>
    <w:rsid w:val="008B1FF5"/>
    <w:rsid w:val="008B33CC"/>
    <w:rsid w:val="008B3530"/>
    <w:rsid w:val="008C37F5"/>
    <w:rsid w:val="008D138C"/>
    <w:rsid w:val="008D36D8"/>
    <w:rsid w:val="008D614F"/>
    <w:rsid w:val="008D7CE8"/>
    <w:rsid w:val="008E7DED"/>
    <w:rsid w:val="008F0E86"/>
    <w:rsid w:val="0090366D"/>
    <w:rsid w:val="00905011"/>
    <w:rsid w:val="00911DD8"/>
    <w:rsid w:val="00917770"/>
    <w:rsid w:val="00921D22"/>
    <w:rsid w:val="00921EF0"/>
    <w:rsid w:val="009406AE"/>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0A6"/>
    <w:rsid w:val="00991EA4"/>
    <w:rsid w:val="009943A8"/>
    <w:rsid w:val="009947D3"/>
    <w:rsid w:val="009965AB"/>
    <w:rsid w:val="009A55AE"/>
    <w:rsid w:val="009A7895"/>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7D3"/>
    <w:rsid w:val="00A43B0D"/>
    <w:rsid w:val="00A44A41"/>
    <w:rsid w:val="00A50EDE"/>
    <w:rsid w:val="00A53396"/>
    <w:rsid w:val="00A57284"/>
    <w:rsid w:val="00A6409C"/>
    <w:rsid w:val="00A66B32"/>
    <w:rsid w:val="00A747A4"/>
    <w:rsid w:val="00A76E82"/>
    <w:rsid w:val="00A94588"/>
    <w:rsid w:val="00A949AD"/>
    <w:rsid w:val="00A97246"/>
    <w:rsid w:val="00AB11DB"/>
    <w:rsid w:val="00AC2C79"/>
    <w:rsid w:val="00AC3596"/>
    <w:rsid w:val="00AD0292"/>
    <w:rsid w:val="00AD09F4"/>
    <w:rsid w:val="00AD797A"/>
    <w:rsid w:val="00AE4204"/>
    <w:rsid w:val="00AF1354"/>
    <w:rsid w:val="00B04987"/>
    <w:rsid w:val="00B067B2"/>
    <w:rsid w:val="00B07A1C"/>
    <w:rsid w:val="00B117C8"/>
    <w:rsid w:val="00B12151"/>
    <w:rsid w:val="00B13F7B"/>
    <w:rsid w:val="00B1669E"/>
    <w:rsid w:val="00B21F2B"/>
    <w:rsid w:val="00B23A19"/>
    <w:rsid w:val="00B3064B"/>
    <w:rsid w:val="00B30E1F"/>
    <w:rsid w:val="00B323FB"/>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70E4"/>
    <w:rsid w:val="00BD1277"/>
    <w:rsid w:val="00BD600A"/>
    <w:rsid w:val="00BE2E9A"/>
    <w:rsid w:val="00BE36DA"/>
    <w:rsid w:val="00BF20DB"/>
    <w:rsid w:val="00BF73DD"/>
    <w:rsid w:val="00C0088E"/>
    <w:rsid w:val="00C02189"/>
    <w:rsid w:val="00C16C81"/>
    <w:rsid w:val="00C30FDC"/>
    <w:rsid w:val="00C319C9"/>
    <w:rsid w:val="00C33895"/>
    <w:rsid w:val="00C3680C"/>
    <w:rsid w:val="00C36B5B"/>
    <w:rsid w:val="00C44C07"/>
    <w:rsid w:val="00C4612E"/>
    <w:rsid w:val="00C54E49"/>
    <w:rsid w:val="00C573B5"/>
    <w:rsid w:val="00C60E03"/>
    <w:rsid w:val="00C62F43"/>
    <w:rsid w:val="00C63B42"/>
    <w:rsid w:val="00C63D5B"/>
    <w:rsid w:val="00C72DCE"/>
    <w:rsid w:val="00C74224"/>
    <w:rsid w:val="00C935BF"/>
    <w:rsid w:val="00CA0A79"/>
    <w:rsid w:val="00CA163D"/>
    <w:rsid w:val="00CA33BA"/>
    <w:rsid w:val="00CB5102"/>
    <w:rsid w:val="00CB77BE"/>
    <w:rsid w:val="00CC0774"/>
    <w:rsid w:val="00CC3862"/>
    <w:rsid w:val="00CC4ADD"/>
    <w:rsid w:val="00CD2BBD"/>
    <w:rsid w:val="00CD35A0"/>
    <w:rsid w:val="00CE087F"/>
    <w:rsid w:val="00CE0DAB"/>
    <w:rsid w:val="00CF75DD"/>
    <w:rsid w:val="00CF7E02"/>
    <w:rsid w:val="00D05ACC"/>
    <w:rsid w:val="00D14DCC"/>
    <w:rsid w:val="00D204FD"/>
    <w:rsid w:val="00D258CC"/>
    <w:rsid w:val="00D25F93"/>
    <w:rsid w:val="00D33649"/>
    <w:rsid w:val="00D4312A"/>
    <w:rsid w:val="00D4564B"/>
    <w:rsid w:val="00D464D3"/>
    <w:rsid w:val="00D52EEC"/>
    <w:rsid w:val="00D55FCF"/>
    <w:rsid w:val="00D60B6C"/>
    <w:rsid w:val="00D62E84"/>
    <w:rsid w:val="00D65095"/>
    <w:rsid w:val="00D809C7"/>
    <w:rsid w:val="00D83EB7"/>
    <w:rsid w:val="00D903B2"/>
    <w:rsid w:val="00D90B0C"/>
    <w:rsid w:val="00D927CA"/>
    <w:rsid w:val="00D9637F"/>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EF1360"/>
    <w:rsid w:val="00F0324A"/>
    <w:rsid w:val="00F033A8"/>
    <w:rsid w:val="00F07FD8"/>
    <w:rsid w:val="00F15C5B"/>
    <w:rsid w:val="00F204D5"/>
    <w:rsid w:val="00F21B66"/>
    <w:rsid w:val="00F31077"/>
    <w:rsid w:val="00F3377F"/>
    <w:rsid w:val="00F34647"/>
    <w:rsid w:val="00F438FF"/>
    <w:rsid w:val="00F5082F"/>
    <w:rsid w:val="00F53D8C"/>
    <w:rsid w:val="00F5551B"/>
    <w:rsid w:val="00F55E48"/>
    <w:rsid w:val="00F62E20"/>
    <w:rsid w:val="00F631D3"/>
    <w:rsid w:val="00F6340E"/>
    <w:rsid w:val="00F647D2"/>
    <w:rsid w:val="00F64A66"/>
    <w:rsid w:val="00F67480"/>
    <w:rsid w:val="00F67A2E"/>
    <w:rsid w:val="00F7046B"/>
    <w:rsid w:val="00F71779"/>
    <w:rsid w:val="00F81E51"/>
    <w:rsid w:val="00F8798D"/>
    <w:rsid w:val="00F921CA"/>
    <w:rsid w:val="00F93C1A"/>
    <w:rsid w:val="00FA5A76"/>
    <w:rsid w:val="00FB0000"/>
    <w:rsid w:val="00FB5CB5"/>
    <w:rsid w:val="00FB6BC3"/>
    <w:rsid w:val="00FC1C47"/>
    <w:rsid w:val="00FD03F6"/>
    <w:rsid w:val="00FD0E0D"/>
    <w:rsid w:val="00FD0EC3"/>
    <w:rsid w:val="00FD1260"/>
    <w:rsid w:val="00FD4154"/>
    <w:rsid w:val="00FD47E3"/>
    <w:rsid w:val="00FD6402"/>
    <w:rsid w:val="00FE15F4"/>
    <w:rsid w:val="00FE514A"/>
    <w:rsid w:val="00FF2FCA"/>
    <w:rsid w:val="00FF5CAC"/>
    <w:rsid w:val="01014077"/>
    <w:rsid w:val="01272083"/>
    <w:rsid w:val="01284C10"/>
    <w:rsid w:val="015B4FE6"/>
    <w:rsid w:val="01AC1704"/>
    <w:rsid w:val="01FB0577"/>
    <w:rsid w:val="02071BEC"/>
    <w:rsid w:val="020F7B7E"/>
    <w:rsid w:val="021D2D7C"/>
    <w:rsid w:val="0223579A"/>
    <w:rsid w:val="023E5242"/>
    <w:rsid w:val="024E4B4B"/>
    <w:rsid w:val="02C601C1"/>
    <w:rsid w:val="03AA4003"/>
    <w:rsid w:val="045B5F57"/>
    <w:rsid w:val="04904FA7"/>
    <w:rsid w:val="04AE367F"/>
    <w:rsid w:val="0504494D"/>
    <w:rsid w:val="051B0175"/>
    <w:rsid w:val="052878D5"/>
    <w:rsid w:val="05373674"/>
    <w:rsid w:val="055E1B86"/>
    <w:rsid w:val="05B64EE1"/>
    <w:rsid w:val="05D06A61"/>
    <w:rsid w:val="05EC0902"/>
    <w:rsid w:val="05ED6429"/>
    <w:rsid w:val="05EE2510"/>
    <w:rsid w:val="05F07A1A"/>
    <w:rsid w:val="06127CD8"/>
    <w:rsid w:val="064F0F69"/>
    <w:rsid w:val="067D59FE"/>
    <w:rsid w:val="06A765D7"/>
    <w:rsid w:val="06BD160A"/>
    <w:rsid w:val="06EB4FC0"/>
    <w:rsid w:val="06F25221"/>
    <w:rsid w:val="070414E7"/>
    <w:rsid w:val="074A1D85"/>
    <w:rsid w:val="07941EA7"/>
    <w:rsid w:val="07C531B9"/>
    <w:rsid w:val="084611EE"/>
    <w:rsid w:val="0874698D"/>
    <w:rsid w:val="08787FAD"/>
    <w:rsid w:val="0883616D"/>
    <w:rsid w:val="08B52B24"/>
    <w:rsid w:val="08C571E9"/>
    <w:rsid w:val="08E25FED"/>
    <w:rsid w:val="08FF26FB"/>
    <w:rsid w:val="09067F2D"/>
    <w:rsid w:val="09807B59"/>
    <w:rsid w:val="09A90D29"/>
    <w:rsid w:val="09DB2D82"/>
    <w:rsid w:val="09EB7CA7"/>
    <w:rsid w:val="09ED311A"/>
    <w:rsid w:val="0A1641A0"/>
    <w:rsid w:val="0A252635"/>
    <w:rsid w:val="0A3C34DB"/>
    <w:rsid w:val="0A514680"/>
    <w:rsid w:val="0A7B2255"/>
    <w:rsid w:val="0AA01CBB"/>
    <w:rsid w:val="0AA7129C"/>
    <w:rsid w:val="0AC0410C"/>
    <w:rsid w:val="0AFF2E86"/>
    <w:rsid w:val="0B725406"/>
    <w:rsid w:val="0B8E5FB8"/>
    <w:rsid w:val="0B906D1E"/>
    <w:rsid w:val="0BA15CEB"/>
    <w:rsid w:val="0BE1433A"/>
    <w:rsid w:val="0BF21B12"/>
    <w:rsid w:val="0C0544CC"/>
    <w:rsid w:val="0C144DB6"/>
    <w:rsid w:val="0C2D3A23"/>
    <w:rsid w:val="0C324B95"/>
    <w:rsid w:val="0C4226ED"/>
    <w:rsid w:val="0C4548C9"/>
    <w:rsid w:val="0C4D5E73"/>
    <w:rsid w:val="0C762627"/>
    <w:rsid w:val="0C904140"/>
    <w:rsid w:val="0CB3217A"/>
    <w:rsid w:val="0CC55A09"/>
    <w:rsid w:val="0CD66AA1"/>
    <w:rsid w:val="0CD8573D"/>
    <w:rsid w:val="0CDA2144"/>
    <w:rsid w:val="0CEF2A86"/>
    <w:rsid w:val="0D023860"/>
    <w:rsid w:val="0D990915"/>
    <w:rsid w:val="0DBF68FD"/>
    <w:rsid w:val="0DDE4FD5"/>
    <w:rsid w:val="0E7C659C"/>
    <w:rsid w:val="0E9E71BC"/>
    <w:rsid w:val="0ECF491D"/>
    <w:rsid w:val="0EED3ABE"/>
    <w:rsid w:val="0F1D102F"/>
    <w:rsid w:val="0F7B4AA5"/>
    <w:rsid w:val="0F8216A0"/>
    <w:rsid w:val="0FAB7138"/>
    <w:rsid w:val="0FB97EAE"/>
    <w:rsid w:val="0FDD12D3"/>
    <w:rsid w:val="0FFC7994"/>
    <w:rsid w:val="10022AD1"/>
    <w:rsid w:val="100625C1"/>
    <w:rsid w:val="101822F4"/>
    <w:rsid w:val="101E5B5C"/>
    <w:rsid w:val="10317971"/>
    <w:rsid w:val="104906FF"/>
    <w:rsid w:val="10572E1C"/>
    <w:rsid w:val="105772C0"/>
    <w:rsid w:val="107A02F9"/>
    <w:rsid w:val="108A1444"/>
    <w:rsid w:val="108F0808"/>
    <w:rsid w:val="10CF6E57"/>
    <w:rsid w:val="10DB3A4D"/>
    <w:rsid w:val="111E1B8C"/>
    <w:rsid w:val="11473E9E"/>
    <w:rsid w:val="11515ABE"/>
    <w:rsid w:val="11521600"/>
    <w:rsid w:val="11CE35B2"/>
    <w:rsid w:val="11D0732A"/>
    <w:rsid w:val="11EC3A38"/>
    <w:rsid w:val="11F6593C"/>
    <w:rsid w:val="12221291"/>
    <w:rsid w:val="127E2F3A"/>
    <w:rsid w:val="129C6D40"/>
    <w:rsid w:val="12A8228B"/>
    <w:rsid w:val="12DD0F9D"/>
    <w:rsid w:val="12DD4869"/>
    <w:rsid w:val="12DE7825"/>
    <w:rsid w:val="130576A6"/>
    <w:rsid w:val="13166713"/>
    <w:rsid w:val="13581385"/>
    <w:rsid w:val="13702B73"/>
    <w:rsid w:val="1384217A"/>
    <w:rsid w:val="13A93907"/>
    <w:rsid w:val="13AE4E22"/>
    <w:rsid w:val="13BD568C"/>
    <w:rsid w:val="14025795"/>
    <w:rsid w:val="14515DD5"/>
    <w:rsid w:val="145D29CB"/>
    <w:rsid w:val="146305B3"/>
    <w:rsid w:val="14891A12"/>
    <w:rsid w:val="14B24C82"/>
    <w:rsid w:val="14F37395"/>
    <w:rsid w:val="152F25BA"/>
    <w:rsid w:val="15883A78"/>
    <w:rsid w:val="159A3ED7"/>
    <w:rsid w:val="15D849FF"/>
    <w:rsid w:val="16201F02"/>
    <w:rsid w:val="16223ECC"/>
    <w:rsid w:val="162C3D63"/>
    <w:rsid w:val="1647335E"/>
    <w:rsid w:val="167C182F"/>
    <w:rsid w:val="16816E45"/>
    <w:rsid w:val="16B0772A"/>
    <w:rsid w:val="17033CFE"/>
    <w:rsid w:val="171E75EA"/>
    <w:rsid w:val="1732013F"/>
    <w:rsid w:val="174054EB"/>
    <w:rsid w:val="17445FF2"/>
    <w:rsid w:val="17481FD2"/>
    <w:rsid w:val="18057602"/>
    <w:rsid w:val="1807337A"/>
    <w:rsid w:val="18776EB2"/>
    <w:rsid w:val="18954E2A"/>
    <w:rsid w:val="189E1056"/>
    <w:rsid w:val="189F77F2"/>
    <w:rsid w:val="18D86AC4"/>
    <w:rsid w:val="18F02060"/>
    <w:rsid w:val="191F46F3"/>
    <w:rsid w:val="193C34F7"/>
    <w:rsid w:val="1945415A"/>
    <w:rsid w:val="199B1FCC"/>
    <w:rsid w:val="19A6734D"/>
    <w:rsid w:val="19E61D4C"/>
    <w:rsid w:val="19E716B5"/>
    <w:rsid w:val="1A4C59BC"/>
    <w:rsid w:val="1A5F49C1"/>
    <w:rsid w:val="1A720B5E"/>
    <w:rsid w:val="1A862C7C"/>
    <w:rsid w:val="1A89276C"/>
    <w:rsid w:val="1A8962C8"/>
    <w:rsid w:val="1A8D5D37"/>
    <w:rsid w:val="1A9E4E53"/>
    <w:rsid w:val="1AA44EB0"/>
    <w:rsid w:val="1AB27BAD"/>
    <w:rsid w:val="1AC22C87"/>
    <w:rsid w:val="1ACB42AA"/>
    <w:rsid w:val="1AD75285"/>
    <w:rsid w:val="1B041DF3"/>
    <w:rsid w:val="1B1A7868"/>
    <w:rsid w:val="1B5D4132"/>
    <w:rsid w:val="1B722C0B"/>
    <w:rsid w:val="1B811695"/>
    <w:rsid w:val="1B9D543E"/>
    <w:rsid w:val="1B9F0E54"/>
    <w:rsid w:val="1BEE0D5A"/>
    <w:rsid w:val="1C204A0A"/>
    <w:rsid w:val="1C5F1063"/>
    <w:rsid w:val="1C6C2CD6"/>
    <w:rsid w:val="1C7A40CC"/>
    <w:rsid w:val="1CC56BA8"/>
    <w:rsid w:val="1CE4012E"/>
    <w:rsid w:val="1D022362"/>
    <w:rsid w:val="1D032159"/>
    <w:rsid w:val="1D7414B2"/>
    <w:rsid w:val="1DE657E0"/>
    <w:rsid w:val="1DE87BFF"/>
    <w:rsid w:val="1DED6D0F"/>
    <w:rsid w:val="1E4D5EA2"/>
    <w:rsid w:val="1E562965"/>
    <w:rsid w:val="1E7828DC"/>
    <w:rsid w:val="1E7E1EBC"/>
    <w:rsid w:val="1E7F010E"/>
    <w:rsid w:val="1E952F81"/>
    <w:rsid w:val="1E9D6A4C"/>
    <w:rsid w:val="1EB15DEE"/>
    <w:rsid w:val="1EBA1146"/>
    <w:rsid w:val="1F182311"/>
    <w:rsid w:val="1F2F6521"/>
    <w:rsid w:val="1F362D33"/>
    <w:rsid w:val="1F791EFD"/>
    <w:rsid w:val="1F933745"/>
    <w:rsid w:val="1FA140B4"/>
    <w:rsid w:val="1FA41A18"/>
    <w:rsid w:val="1FAF1E0D"/>
    <w:rsid w:val="1FDA382E"/>
    <w:rsid w:val="209459C7"/>
    <w:rsid w:val="20992FDD"/>
    <w:rsid w:val="20E06E5E"/>
    <w:rsid w:val="21313216"/>
    <w:rsid w:val="21837F15"/>
    <w:rsid w:val="22105521"/>
    <w:rsid w:val="2217065D"/>
    <w:rsid w:val="2238422A"/>
    <w:rsid w:val="2275288D"/>
    <w:rsid w:val="229C0B63"/>
    <w:rsid w:val="23014650"/>
    <w:rsid w:val="236C49D9"/>
    <w:rsid w:val="23711FEF"/>
    <w:rsid w:val="23971A56"/>
    <w:rsid w:val="239D4B92"/>
    <w:rsid w:val="23C95407"/>
    <w:rsid w:val="23DD710D"/>
    <w:rsid w:val="240370EB"/>
    <w:rsid w:val="241311A3"/>
    <w:rsid w:val="241407B4"/>
    <w:rsid w:val="242B4894"/>
    <w:rsid w:val="243C3641"/>
    <w:rsid w:val="2460453E"/>
    <w:rsid w:val="24D41A48"/>
    <w:rsid w:val="25423C43"/>
    <w:rsid w:val="25780CA3"/>
    <w:rsid w:val="25911791"/>
    <w:rsid w:val="26034413"/>
    <w:rsid w:val="261C458B"/>
    <w:rsid w:val="26290113"/>
    <w:rsid w:val="264D28A0"/>
    <w:rsid w:val="26DB60FD"/>
    <w:rsid w:val="26DE174A"/>
    <w:rsid w:val="26F45F62"/>
    <w:rsid w:val="27016CF5"/>
    <w:rsid w:val="270F224B"/>
    <w:rsid w:val="275859A0"/>
    <w:rsid w:val="27807F4C"/>
    <w:rsid w:val="279B763B"/>
    <w:rsid w:val="27E62FAC"/>
    <w:rsid w:val="27E72740"/>
    <w:rsid w:val="28022D0D"/>
    <w:rsid w:val="28327F9F"/>
    <w:rsid w:val="28561472"/>
    <w:rsid w:val="286A598B"/>
    <w:rsid w:val="28C66939"/>
    <w:rsid w:val="28ED036A"/>
    <w:rsid w:val="28EF40E2"/>
    <w:rsid w:val="294855A0"/>
    <w:rsid w:val="294C2B55"/>
    <w:rsid w:val="295B325B"/>
    <w:rsid w:val="29824F56"/>
    <w:rsid w:val="2A0E67EA"/>
    <w:rsid w:val="2A3F4BF2"/>
    <w:rsid w:val="2A5F7045"/>
    <w:rsid w:val="2A9D28DE"/>
    <w:rsid w:val="2AC801FE"/>
    <w:rsid w:val="2ACD3758"/>
    <w:rsid w:val="2B41674B"/>
    <w:rsid w:val="2B63341A"/>
    <w:rsid w:val="2B6A7A50"/>
    <w:rsid w:val="2B805C8F"/>
    <w:rsid w:val="2BA61DF7"/>
    <w:rsid w:val="2BC76C50"/>
    <w:rsid w:val="2BDC152B"/>
    <w:rsid w:val="2C53461B"/>
    <w:rsid w:val="2C7C3EDF"/>
    <w:rsid w:val="2CB5119F"/>
    <w:rsid w:val="2CCD4EB0"/>
    <w:rsid w:val="2CCE2260"/>
    <w:rsid w:val="2CDA6E57"/>
    <w:rsid w:val="2CDD4252"/>
    <w:rsid w:val="2CDE7B16"/>
    <w:rsid w:val="2CF258A6"/>
    <w:rsid w:val="2D12214D"/>
    <w:rsid w:val="2D2D1A32"/>
    <w:rsid w:val="2D4542D1"/>
    <w:rsid w:val="2D482013"/>
    <w:rsid w:val="2D542766"/>
    <w:rsid w:val="2DAF5BEE"/>
    <w:rsid w:val="2DB96A6D"/>
    <w:rsid w:val="2DBB4593"/>
    <w:rsid w:val="2E262354"/>
    <w:rsid w:val="2E2E2FB7"/>
    <w:rsid w:val="2E652751"/>
    <w:rsid w:val="2EFF7A23"/>
    <w:rsid w:val="2F127C9B"/>
    <w:rsid w:val="2F6D385E"/>
    <w:rsid w:val="2F8135BA"/>
    <w:rsid w:val="302269CD"/>
    <w:rsid w:val="304765B2"/>
    <w:rsid w:val="30653EA8"/>
    <w:rsid w:val="308E69D0"/>
    <w:rsid w:val="30A6152A"/>
    <w:rsid w:val="30AE4883"/>
    <w:rsid w:val="30BF439A"/>
    <w:rsid w:val="30CB0F91"/>
    <w:rsid w:val="312468F3"/>
    <w:rsid w:val="31384830"/>
    <w:rsid w:val="31413001"/>
    <w:rsid w:val="31697021"/>
    <w:rsid w:val="31741628"/>
    <w:rsid w:val="31973569"/>
    <w:rsid w:val="31983484"/>
    <w:rsid w:val="31B859B9"/>
    <w:rsid w:val="31C3610C"/>
    <w:rsid w:val="31CB66E8"/>
    <w:rsid w:val="32045187"/>
    <w:rsid w:val="3264344B"/>
    <w:rsid w:val="328D625E"/>
    <w:rsid w:val="32C4317F"/>
    <w:rsid w:val="32D14858"/>
    <w:rsid w:val="32D27443"/>
    <w:rsid w:val="32DA043D"/>
    <w:rsid w:val="331846D7"/>
    <w:rsid w:val="3355548A"/>
    <w:rsid w:val="337551E4"/>
    <w:rsid w:val="338F274A"/>
    <w:rsid w:val="33E56358"/>
    <w:rsid w:val="346239BA"/>
    <w:rsid w:val="34700528"/>
    <w:rsid w:val="348A1163"/>
    <w:rsid w:val="349246AA"/>
    <w:rsid w:val="34CB23CC"/>
    <w:rsid w:val="34FF7CFA"/>
    <w:rsid w:val="350B5E00"/>
    <w:rsid w:val="35103416"/>
    <w:rsid w:val="3536386F"/>
    <w:rsid w:val="354B6B44"/>
    <w:rsid w:val="356674DA"/>
    <w:rsid w:val="35AE11CE"/>
    <w:rsid w:val="35E456DE"/>
    <w:rsid w:val="364D1EBF"/>
    <w:rsid w:val="366B035A"/>
    <w:rsid w:val="368340BC"/>
    <w:rsid w:val="36FF1994"/>
    <w:rsid w:val="37133692"/>
    <w:rsid w:val="37166CDE"/>
    <w:rsid w:val="371C61D5"/>
    <w:rsid w:val="37225683"/>
    <w:rsid w:val="378B76CC"/>
    <w:rsid w:val="37BB3233"/>
    <w:rsid w:val="37C14E9C"/>
    <w:rsid w:val="37DC1CD5"/>
    <w:rsid w:val="38084878"/>
    <w:rsid w:val="380B6117"/>
    <w:rsid w:val="382947EF"/>
    <w:rsid w:val="38523D46"/>
    <w:rsid w:val="38761466"/>
    <w:rsid w:val="38A13CE6"/>
    <w:rsid w:val="38F74A71"/>
    <w:rsid w:val="390F4678"/>
    <w:rsid w:val="393B0C7E"/>
    <w:rsid w:val="39671A73"/>
    <w:rsid w:val="39934616"/>
    <w:rsid w:val="39BD1693"/>
    <w:rsid w:val="39FA28E7"/>
    <w:rsid w:val="39FD5F33"/>
    <w:rsid w:val="3A3640F7"/>
    <w:rsid w:val="3A52627F"/>
    <w:rsid w:val="3A592F66"/>
    <w:rsid w:val="3A944AE9"/>
    <w:rsid w:val="3AAB1C5E"/>
    <w:rsid w:val="3AED2CDF"/>
    <w:rsid w:val="3AFF71B2"/>
    <w:rsid w:val="3B3B6D13"/>
    <w:rsid w:val="3B627439"/>
    <w:rsid w:val="3B732951"/>
    <w:rsid w:val="3B8C57C0"/>
    <w:rsid w:val="3B9A7EDD"/>
    <w:rsid w:val="3BB56AC5"/>
    <w:rsid w:val="3BD80A06"/>
    <w:rsid w:val="3BD827B4"/>
    <w:rsid w:val="3C0C2277"/>
    <w:rsid w:val="3C1001A0"/>
    <w:rsid w:val="3C3C10C6"/>
    <w:rsid w:val="3C3C2D43"/>
    <w:rsid w:val="3C6B7ACC"/>
    <w:rsid w:val="3CC66AB0"/>
    <w:rsid w:val="3CEC4769"/>
    <w:rsid w:val="3D015CBA"/>
    <w:rsid w:val="3D163594"/>
    <w:rsid w:val="3D264775"/>
    <w:rsid w:val="3D2C2F4C"/>
    <w:rsid w:val="3D536596"/>
    <w:rsid w:val="3D7D1865"/>
    <w:rsid w:val="3D995500"/>
    <w:rsid w:val="3DA94408"/>
    <w:rsid w:val="3DF338D5"/>
    <w:rsid w:val="3E581CED"/>
    <w:rsid w:val="3E587BDC"/>
    <w:rsid w:val="3E5F0359"/>
    <w:rsid w:val="3E5F540E"/>
    <w:rsid w:val="3E834A54"/>
    <w:rsid w:val="3EAD7307"/>
    <w:rsid w:val="3EB80E95"/>
    <w:rsid w:val="3ED7660B"/>
    <w:rsid w:val="3F3562B3"/>
    <w:rsid w:val="3F367F1D"/>
    <w:rsid w:val="3F424B14"/>
    <w:rsid w:val="3F740A45"/>
    <w:rsid w:val="3F935790"/>
    <w:rsid w:val="40167D4F"/>
    <w:rsid w:val="4038148A"/>
    <w:rsid w:val="4091563A"/>
    <w:rsid w:val="40AB0497"/>
    <w:rsid w:val="40DC3727"/>
    <w:rsid w:val="40F7192E"/>
    <w:rsid w:val="40FA7FF6"/>
    <w:rsid w:val="410F3A7D"/>
    <w:rsid w:val="41253E3F"/>
    <w:rsid w:val="41483F38"/>
    <w:rsid w:val="416A2100"/>
    <w:rsid w:val="41BD1DD3"/>
    <w:rsid w:val="41C71300"/>
    <w:rsid w:val="41C91E8C"/>
    <w:rsid w:val="41F47C95"/>
    <w:rsid w:val="420A743F"/>
    <w:rsid w:val="42154762"/>
    <w:rsid w:val="42383FAC"/>
    <w:rsid w:val="425B7242"/>
    <w:rsid w:val="425C5EED"/>
    <w:rsid w:val="42707BEA"/>
    <w:rsid w:val="42765961"/>
    <w:rsid w:val="42864708"/>
    <w:rsid w:val="42C57F36"/>
    <w:rsid w:val="42F425C9"/>
    <w:rsid w:val="43192030"/>
    <w:rsid w:val="43257511"/>
    <w:rsid w:val="43284021"/>
    <w:rsid w:val="435B63EA"/>
    <w:rsid w:val="435E3EE6"/>
    <w:rsid w:val="437D25BE"/>
    <w:rsid w:val="43903EC0"/>
    <w:rsid w:val="43B038FF"/>
    <w:rsid w:val="43BD1174"/>
    <w:rsid w:val="43F83455"/>
    <w:rsid w:val="43FA3C0F"/>
    <w:rsid w:val="44000AFA"/>
    <w:rsid w:val="44202F4A"/>
    <w:rsid w:val="44222311"/>
    <w:rsid w:val="44265B60"/>
    <w:rsid w:val="445300EE"/>
    <w:rsid w:val="44823C05"/>
    <w:rsid w:val="44C935E1"/>
    <w:rsid w:val="44D81A76"/>
    <w:rsid w:val="45114421"/>
    <w:rsid w:val="45294080"/>
    <w:rsid w:val="454C3E11"/>
    <w:rsid w:val="457C68A6"/>
    <w:rsid w:val="45891987"/>
    <w:rsid w:val="458A2D71"/>
    <w:rsid w:val="45B7168C"/>
    <w:rsid w:val="45C344D5"/>
    <w:rsid w:val="45D15EED"/>
    <w:rsid w:val="45D24718"/>
    <w:rsid w:val="45DF7D4A"/>
    <w:rsid w:val="45F60406"/>
    <w:rsid w:val="46172422"/>
    <w:rsid w:val="4639275E"/>
    <w:rsid w:val="463D4287"/>
    <w:rsid w:val="46433319"/>
    <w:rsid w:val="46D36999"/>
    <w:rsid w:val="46D4291E"/>
    <w:rsid w:val="46E77CD6"/>
    <w:rsid w:val="46FE60CF"/>
    <w:rsid w:val="47066B20"/>
    <w:rsid w:val="47224611"/>
    <w:rsid w:val="4723522B"/>
    <w:rsid w:val="47411B55"/>
    <w:rsid w:val="476F66C2"/>
    <w:rsid w:val="47863A0C"/>
    <w:rsid w:val="478D4D9A"/>
    <w:rsid w:val="47A16A17"/>
    <w:rsid w:val="47A65E5C"/>
    <w:rsid w:val="47B10A89"/>
    <w:rsid w:val="47F40975"/>
    <w:rsid w:val="4806637A"/>
    <w:rsid w:val="48180B08"/>
    <w:rsid w:val="4858064E"/>
    <w:rsid w:val="48855ECB"/>
    <w:rsid w:val="488E0DCA"/>
    <w:rsid w:val="488F68F0"/>
    <w:rsid w:val="48914416"/>
    <w:rsid w:val="48CC18F2"/>
    <w:rsid w:val="490270C2"/>
    <w:rsid w:val="49064E04"/>
    <w:rsid w:val="49441489"/>
    <w:rsid w:val="49494CF1"/>
    <w:rsid w:val="49D15FA1"/>
    <w:rsid w:val="4A050C18"/>
    <w:rsid w:val="4A496867"/>
    <w:rsid w:val="4A8C758B"/>
    <w:rsid w:val="4AC513B9"/>
    <w:rsid w:val="4AD90602"/>
    <w:rsid w:val="4AE07B67"/>
    <w:rsid w:val="4AF60EA8"/>
    <w:rsid w:val="4B007631"/>
    <w:rsid w:val="4B0E61F2"/>
    <w:rsid w:val="4B117A90"/>
    <w:rsid w:val="4B2E50E0"/>
    <w:rsid w:val="4B4907E0"/>
    <w:rsid w:val="4B49722A"/>
    <w:rsid w:val="4B535406"/>
    <w:rsid w:val="4B865D88"/>
    <w:rsid w:val="4BAB3A41"/>
    <w:rsid w:val="4BDE5236"/>
    <w:rsid w:val="4C001FDF"/>
    <w:rsid w:val="4C0A69B9"/>
    <w:rsid w:val="4C2228A7"/>
    <w:rsid w:val="4C2B677E"/>
    <w:rsid w:val="4C4C6FD2"/>
    <w:rsid w:val="4C7706EA"/>
    <w:rsid w:val="4C7C718B"/>
    <w:rsid w:val="4C83051A"/>
    <w:rsid w:val="4CAA3CF8"/>
    <w:rsid w:val="4CFA6A2E"/>
    <w:rsid w:val="4D07739D"/>
    <w:rsid w:val="4D0E6A50"/>
    <w:rsid w:val="4D5A5C7A"/>
    <w:rsid w:val="4D7A7B6F"/>
    <w:rsid w:val="4D7C38E7"/>
    <w:rsid w:val="4DDF3D59"/>
    <w:rsid w:val="4DF73D65"/>
    <w:rsid w:val="4E1540E0"/>
    <w:rsid w:val="4E4C1D55"/>
    <w:rsid w:val="4ECD5D98"/>
    <w:rsid w:val="4ED11A10"/>
    <w:rsid w:val="4EDB7A16"/>
    <w:rsid w:val="4EEA4880"/>
    <w:rsid w:val="4F0634C8"/>
    <w:rsid w:val="4F38383D"/>
    <w:rsid w:val="4F3A75B6"/>
    <w:rsid w:val="4F661797"/>
    <w:rsid w:val="4F9E2D5E"/>
    <w:rsid w:val="4FAD5F2A"/>
    <w:rsid w:val="4FD600B2"/>
    <w:rsid w:val="4FE362B3"/>
    <w:rsid w:val="4FF74071"/>
    <w:rsid w:val="4FFC486B"/>
    <w:rsid w:val="50067498"/>
    <w:rsid w:val="502E6F54"/>
    <w:rsid w:val="5035213F"/>
    <w:rsid w:val="50B25872"/>
    <w:rsid w:val="50B9760A"/>
    <w:rsid w:val="50C57042"/>
    <w:rsid w:val="50D43A3A"/>
    <w:rsid w:val="50D92DFE"/>
    <w:rsid w:val="50DC676B"/>
    <w:rsid w:val="50DE6667"/>
    <w:rsid w:val="50F47C38"/>
    <w:rsid w:val="50FB0FC7"/>
    <w:rsid w:val="51217AE6"/>
    <w:rsid w:val="516369FD"/>
    <w:rsid w:val="51A57185"/>
    <w:rsid w:val="51B353FD"/>
    <w:rsid w:val="51C54D02"/>
    <w:rsid w:val="520D7026"/>
    <w:rsid w:val="52127026"/>
    <w:rsid w:val="522462FB"/>
    <w:rsid w:val="522510AD"/>
    <w:rsid w:val="523302EC"/>
    <w:rsid w:val="525A3ACB"/>
    <w:rsid w:val="52650DED"/>
    <w:rsid w:val="52707792"/>
    <w:rsid w:val="52B92EE7"/>
    <w:rsid w:val="52C13B25"/>
    <w:rsid w:val="52C40CED"/>
    <w:rsid w:val="52C77B7F"/>
    <w:rsid w:val="5305612D"/>
    <w:rsid w:val="53395DD6"/>
    <w:rsid w:val="53407165"/>
    <w:rsid w:val="5343661A"/>
    <w:rsid w:val="534A673B"/>
    <w:rsid w:val="537A73C2"/>
    <w:rsid w:val="53C75F79"/>
    <w:rsid w:val="5415239F"/>
    <w:rsid w:val="54492049"/>
    <w:rsid w:val="546F6F25"/>
    <w:rsid w:val="548B2661"/>
    <w:rsid w:val="549542E2"/>
    <w:rsid w:val="549A28A4"/>
    <w:rsid w:val="54A56347"/>
    <w:rsid w:val="54D758A7"/>
    <w:rsid w:val="54E63D3C"/>
    <w:rsid w:val="550F5041"/>
    <w:rsid w:val="551500E9"/>
    <w:rsid w:val="55436A98"/>
    <w:rsid w:val="5588094F"/>
    <w:rsid w:val="55913CA7"/>
    <w:rsid w:val="55984B98"/>
    <w:rsid w:val="55BA2F55"/>
    <w:rsid w:val="55FC4723"/>
    <w:rsid w:val="56091A90"/>
    <w:rsid w:val="563665FD"/>
    <w:rsid w:val="56535401"/>
    <w:rsid w:val="56AD68BF"/>
    <w:rsid w:val="56D976B4"/>
    <w:rsid w:val="56F75D8C"/>
    <w:rsid w:val="56F97D56"/>
    <w:rsid w:val="56FC15F5"/>
    <w:rsid w:val="56FD401A"/>
    <w:rsid w:val="572072BC"/>
    <w:rsid w:val="575431DF"/>
    <w:rsid w:val="576A0C54"/>
    <w:rsid w:val="57722030"/>
    <w:rsid w:val="57783371"/>
    <w:rsid w:val="578C0BCA"/>
    <w:rsid w:val="57AA2DFF"/>
    <w:rsid w:val="57BD4A5B"/>
    <w:rsid w:val="57C93873"/>
    <w:rsid w:val="57F95B34"/>
    <w:rsid w:val="57FF448B"/>
    <w:rsid w:val="585A65D3"/>
    <w:rsid w:val="586F5EE0"/>
    <w:rsid w:val="58B02697"/>
    <w:rsid w:val="58B74799"/>
    <w:rsid w:val="58E3481A"/>
    <w:rsid w:val="58EB7B73"/>
    <w:rsid w:val="597933D0"/>
    <w:rsid w:val="59967ADE"/>
    <w:rsid w:val="599E4BE5"/>
    <w:rsid w:val="599E6993"/>
    <w:rsid w:val="59C208D3"/>
    <w:rsid w:val="59E00B11"/>
    <w:rsid w:val="59FF38D6"/>
    <w:rsid w:val="5A1425E2"/>
    <w:rsid w:val="5A1F5D26"/>
    <w:rsid w:val="5A557999"/>
    <w:rsid w:val="5A5A6D5E"/>
    <w:rsid w:val="5A655703"/>
    <w:rsid w:val="5A9009D2"/>
    <w:rsid w:val="5AB04BD0"/>
    <w:rsid w:val="5AB521E6"/>
    <w:rsid w:val="5AB814AD"/>
    <w:rsid w:val="5ABF26F5"/>
    <w:rsid w:val="5ACD2A8D"/>
    <w:rsid w:val="5AF0321E"/>
    <w:rsid w:val="5B01542B"/>
    <w:rsid w:val="5B3A0CAE"/>
    <w:rsid w:val="5B527A35"/>
    <w:rsid w:val="5B833B21"/>
    <w:rsid w:val="5BA924BC"/>
    <w:rsid w:val="5BCA3A1A"/>
    <w:rsid w:val="5BDE751B"/>
    <w:rsid w:val="5BFE196B"/>
    <w:rsid w:val="5C090A3C"/>
    <w:rsid w:val="5C0F06CF"/>
    <w:rsid w:val="5C276A31"/>
    <w:rsid w:val="5C334DCA"/>
    <w:rsid w:val="5C82434A"/>
    <w:rsid w:val="5C981DBF"/>
    <w:rsid w:val="5D175D5B"/>
    <w:rsid w:val="5D1E43BE"/>
    <w:rsid w:val="5D245401"/>
    <w:rsid w:val="5D577585"/>
    <w:rsid w:val="5D8353B4"/>
    <w:rsid w:val="5DA327CA"/>
    <w:rsid w:val="5DA93676"/>
    <w:rsid w:val="5DD0092A"/>
    <w:rsid w:val="5DDC0A78"/>
    <w:rsid w:val="5E4865EB"/>
    <w:rsid w:val="5E773554"/>
    <w:rsid w:val="5ED846F5"/>
    <w:rsid w:val="5F066A42"/>
    <w:rsid w:val="5F074FDA"/>
    <w:rsid w:val="5F3F6F95"/>
    <w:rsid w:val="5FA33E97"/>
    <w:rsid w:val="5FBC5DC5"/>
    <w:rsid w:val="6025396A"/>
    <w:rsid w:val="602A42E4"/>
    <w:rsid w:val="605A0FEE"/>
    <w:rsid w:val="60636240"/>
    <w:rsid w:val="608106DF"/>
    <w:rsid w:val="60C018E5"/>
    <w:rsid w:val="60E64F60"/>
    <w:rsid w:val="60EC6236"/>
    <w:rsid w:val="61077514"/>
    <w:rsid w:val="61202383"/>
    <w:rsid w:val="612A28B1"/>
    <w:rsid w:val="616B7AA3"/>
    <w:rsid w:val="61970898"/>
    <w:rsid w:val="61A15272"/>
    <w:rsid w:val="61BA4EB8"/>
    <w:rsid w:val="61C24B5C"/>
    <w:rsid w:val="61C6117D"/>
    <w:rsid w:val="61CE53C5"/>
    <w:rsid w:val="61D513C0"/>
    <w:rsid w:val="61E635CD"/>
    <w:rsid w:val="61FB0E26"/>
    <w:rsid w:val="61FC4B9F"/>
    <w:rsid w:val="627012F9"/>
    <w:rsid w:val="62A82630"/>
    <w:rsid w:val="62A90727"/>
    <w:rsid w:val="62BB05B6"/>
    <w:rsid w:val="62E47B0C"/>
    <w:rsid w:val="62FB5D20"/>
    <w:rsid w:val="63021D41"/>
    <w:rsid w:val="632E2B36"/>
    <w:rsid w:val="633B34A5"/>
    <w:rsid w:val="634B55D8"/>
    <w:rsid w:val="63AB173F"/>
    <w:rsid w:val="63AB4186"/>
    <w:rsid w:val="63CB4828"/>
    <w:rsid w:val="63E43B3C"/>
    <w:rsid w:val="63EF036E"/>
    <w:rsid w:val="63F55D49"/>
    <w:rsid w:val="63F947B7"/>
    <w:rsid w:val="643021F7"/>
    <w:rsid w:val="645978DD"/>
    <w:rsid w:val="64711444"/>
    <w:rsid w:val="64AA08E2"/>
    <w:rsid w:val="64B83E22"/>
    <w:rsid w:val="64E7036A"/>
    <w:rsid w:val="64F86DF2"/>
    <w:rsid w:val="64FD6EF8"/>
    <w:rsid w:val="652F7039"/>
    <w:rsid w:val="65BC07BA"/>
    <w:rsid w:val="65F55B8D"/>
    <w:rsid w:val="66214BD4"/>
    <w:rsid w:val="662B7800"/>
    <w:rsid w:val="664663E8"/>
    <w:rsid w:val="667016B7"/>
    <w:rsid w:val="66811B16"/>
    <w:rsid w:val="66B62C83"/>
    <w:rsid w:val="66D25ECE"/>
    <w:rsid w:val="66D34F55"/>
    <w:rsid w:val="66FD39F4"/>
    <w:rsid w:val="672E57FA"/>
    <w:rsid w:val="673B332A"/>
    <w:rsid w:val="67B37AAD"/>
    <w:rsid w:val="67BB268C"/>
    <w:rsid w:val="68071BA7"/>
    <w:rsid w:val="68700689"/>
    <w:rsid w:val="6870599E"/>
    <w:rsid w:val="687A004F"/>
    <w:rsid w:val="688E4077"/>
    <w:rsid w:val="68994EF5"/>
    <w:rsid w:val="68D0643D"/>
    <w:rsid w:val="68D777CC"/>
    <w:rsid w:val="692769A5"/>
    <w:rsid w:val="692C42F4"/>
    <w:rsid w:val="69532A03"/>
    <w:rsid w:val="696E6382"/>
    <w:rsid w:val="69BB5C10"/>
    <w:rsid w:val="69F745C9"/>
    <w:rsid w:val="6A1D56B2"/>
    <w:rsid w:val="6A3F387A"/>
    <w:rsid w:val="6A4E384C"/>
    <w:rsid w:val="6A9C2A7B"/>
    <w:rsid w:val="6AC22B22"/>
    <w:rsid w:val="6AF13A20"/>
    <w:rsid w:val="6B146AB5"/>
    <w:rsid w:val="6B517D09"/>
    <w:rsid w:val="6B596BBE"/>
    <w:rsid w:val="6B6F568C"/>
    <w:rsid w:val="6B9A5E05"/>
    <w:rsid w:val="6BB67B6C"/>
    <w:rsid w:val="6C2E1DF8"/>
    <w:rsid w:val="6C580C23"/>
    <w:rsid w:val="6C5C5FB4"/>
    <w:rsid w:val="6C725A99"/>
    <w:rsid w:val="6C7F2654"/>
    <w:rsid w:val="6D7F6A3D"/>
    <w:rsid w:val="6D82752C"/>
    <w:rsid w:val="6D8E5056"/>
    <w:rsid w:val="6D9026E1"/>
    <w:rsid w:val="6D9640F9"/>
    <w:rsid w:val="6D967C55"/>
    <w:rsid w:val="6DA939C6"/>
    <w:rsid w:val="6DAE1B10"/>
    <w:rsid w:val="6DCA5B51"/>
    <w:rsid w:val="6DD625D7"/>
    <w:rsid w:val="6DEA14EE"/>
    <w:rsid w:val="6E160D96"/>
    <w:rsid w:val="6E251EBD"/>
    <w:rsid w:val="6E4E30C1"/>
    <w:rsid w:val="6E950308"/>
    <w:rsid w:val="6EB5257D"/>
    <w:rsid w:val="6ECB1B80"/>
    <w:rsid w:val="6EE669BA"/>
    <w:rsid w:val="6EF154D3"/>
    <w:rsid w:val="6EFC61DE"/>
    <w:rsid w:val="6F767D3E"/>
    <w:rsid w:val="6FA44D7D"/>
    <w:rsid w:val="6FAA5C3A"/>
    <w:rsid w:val="6FB97C2B"/>
    <w:rsid w:val="6FD241EE"/>
    <w:rsid w:val="6FE32EFA"/>
    <w:rsid w:val="6FE56C72"/>
    <w:rsid w:val="70223A22"/>
    <w:rsid w:val="705363C1"/>
    <w:rsid w:val="707E521F"/>
    <w:rsid w:val="708244C1"/>
    <w:rsid w:val="708A15C7"/>
    <w:rsid w:val="70D23D39"/>
    <w:rsid w:val="70F2329B"/>
    <w:rsid w:val="71096990"/>
    <w:rsid w:val="71265794"/>
    <w:rsid w:val="712D6B22"/>
    <w:rsid w:val="714D4ACF"/>
    <w:rsid w:val="717C3730"/>
    <w:rsid w:val="72281098"/>
    <w:rsid w:val="726E492B"/>
    <w:rsid w:val="72D60AF4"/>
    <w:rsid w:val="72E94CCB"/>
    <w:rsid w:val="72FA6627"/>
    <w:rsid w:val="730438B3"/>
    <w:rsid w:val="73140212"/>
    <w:rsid w:val="73373C88"/>
    <w:rsid w:val="73481ADA"/>
    <w:rsid w:val="73591E51"/>
    <w:rsid w:val="73AF1A71"/>
    <w:rsid w:val="73C60B68"/>
    <w:rsid w:val="73D33B63"/>
    <w:rsid w:val="741B0306"/>
    <w:rsid w:val="741D7687"/>
    <w:rsid w:val="743B4661"/>
    <w:rsid w:val="74643D95"/>
    <w:rsid w:val="747B5DF7"/>
    <w:rsid w:val="74934EEE"/>
    <w:rsid w:val="74B53F65"/>
    <w:rsid w:val="74B93B6F"/>
    <w:rsid w:val="750820A4"/>
    <w:rsid w:val="751122B7"/>
    <w:rsid w:val="754B7577"/>
    <w:rsid w:val="75533953"/>
    <w:rsid w:val="75596138"/>
    <w:rsid w:val="756E770A"/>
    <w:rsid w:val="758111EB"/>
    <w:rsid w:val="75880E0D"/>
    <w:rsid w:val="75BD4B6F"/>
    <w:rsid w:val="76285B0A"/>
    <w:rsid w:val="764D731F"/>
    <w:rsid w:val="769413F2"/>
    <w:rsid w:val="769B452E"/>
    <w:rsid w:val="76BE5E98"/>
    <w:rsid w:val="76CF43DC"/>
    <w:rsid w:val="76D161A2"/>
    <w:rsid w:val="76FA74A7"/>
    <w:rsid w:val="77043E82"/>
    <w:rsid w:val="7755292F"/>
    <w:rsid w:val="776808B4"/>
    <w:rsid w:val="77920469"/>
    <w:rsid w:val="779470C1"/>
    <w:rsid w:val="77AA5753"/>
    <w:rsid w:val="77C8615C"/>
    <w:rsid w:val="77E45A3E"/>
    <w:rsid w:val="781A59B2"/>
    <w:rsid w:val="78316434"/>
    <w:rsid w:val="785B3F75"/>
    <w:rsid w:val="786725EB"/>
    <w:rsid w:val="78A05E2C"/>
    <w:rsid w:val="7961380D"/>
    <w:rsid w:val="79A7490D"/>
    <w:rsid w:val="79B90234"/>
    <w:rsid w:val="79DF4732"/>
    <w:rsid w:val="79FB496B"/>
    <w:rsid w:val="79FE105C"/>
    <w:rsid w:val="7A3A0A3C"/>
    <w:rsid w:val="7A3C5E76"/>
    <w:rsid w:val="7A59352A"/>
    <w:rsid w:val="7A831561"/>
    <w:rsid w:val="7AE43462"/>
    <w:rsid w:val="7B2368A0"/>
    <w:rsid w:val="7B343644"/>
    <w:rsid w:val="7B4B5507"/>
    <w:rsid w:val="7B4C229B"/>
    <w:rsid w:val="7B5506B1"/>
    <w:rsid w:val="7B5536B5"/>
    <w:rsid w:val="7B707D38"/>
    <w:rsid w:val="7B7F6AF1"/>
    <w:rsid w:val="7BA2010D"/>
    <w:rsid w:val="7BC33D21"/>
    <w:rsid w:val="7C694787"/>
    <w:rsid w:val="7CCD0E1E"/>
    <w:rsid w:val="7CD619D9"/>
    <w:rsid w:val="7CEF2EDE"/>
    <w:rsid w:val="7D0050EB"/>
    <w:rsid w:val="7D0F3580"/>
    <w:rsid w:val="7D1110A6"/>
    <w:rsid w:val="7D7065E1"/>
    <w:rsid w:val="7D9D6C2A"/>
    <w:rsid w:val="7DAC501E"/>
    <w:rsid w:val="7DAF1071"/>
    <w:rsid w:val="7DB06B11"/>
    <w:rsid w:val="7DC1163E"/>
    <w:rsid w:val="7DC66335"/>
    <w:rsid w:val="7DEC566F"/>
    <w:rsid w:val="7E1D303C"/>
    <w:rsid w:val="7E2B11F7"/>
    <w:rsid w:val="7E3F60E7"/>
    <w:rsid w:val="7E4A68AE"/>
    <w:rsid w:val="7E84107C"/>
    <w:rsid w:val="7E9A50CB"/>
    <w:rsid w:val="7EB20667"/>
    <w:rsid w:val="7EB23333"/>
    <w:rsid w:val="7ED43428"/>
    <w:rsid w:val="7EE226EE"/>
    <w:rsid w:val="7EE86027"/>
    <w:rsid w:val="7EED78F1"/>
    <w:rsid w:val="7F0132A6"/>
    <w:rsid w:val="7F0F7867"/>
    <w:rsid w:val="7F4219EB"/>
    <w:rsid w:val="7F82628B"/>
    <w:rsid w:val="7FA77AA0"/>
    <w:rsid w:val="7FA826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paragraph" w:styleId="3">
    <w:name w:val="heading 1"/>
    <w:basedOn w:val="1"/>
    <w:next w:val="1"/>
    <w:link w:val="25"/>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3"/>
    <w:next w:val="1"/>
    <w:link w:val="26"/>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7"/>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8"/>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9"/>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30"/>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8">
    <w:name w:val="Default Paragraph Font"/>
    <w:semiHidden/>
    <w:uiPriority w:val="99"/>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2">
    <w:name w:val="toc 2"/>
    <w:basedOn w:val="1"/>
    <w:next w:val="1"/>
    <w:qFormat/>
    <w:locked/>
    <w:uiPriority w:val="39"/>
    <w:pPr>
      <w:ind w:left="420" w:leftChars="200"/>
    </w:pPr>
    <w:rPr>
      <w:rFonts w:ascii="Calibri" w:hAnsi="Calibri" w:eastAsia="宋体" w:cs="Times New Roman"/>
      <w:szCs w:val="22"/>
    </w:rPr>
  </w:style>
  <w:style w:type="paragraph" w:styleId="9">
    <w:name w:val="index 5"/>
    <w:basedOn w:val="1"/>
    <w:next w:val="1"/>
    <w:qFormat/>
    <w:uiPriority w:val="99"/>
    <w:pPr>
      <w:ind w:left="1680"/>
    </w:pPr>
  </w:style>
  <w:style w:type="paragraph" w:styleId="10">
    <w:name w:val="Body Text"/>
    <w:basedOn w:val="1"/>
    <w:qFormat/>
    <w:uiPriority w:val="0"/>
  </w:style>
  <w:style w:type="paragraph" w:styleId="11">
    <w:name w:val="HTML Address"/>
    <w:basedOn w:val="1"/>
    <w:link w:val="31"/>
    <w:semiHidden/>
    <w:uiPriority w:val="99"/>
    <w:pPr>
      <w:widowControl/>
      <w:jc w:val="left"/>
    </w:pPr>
    <w:rPr>
      <w:rFonts w:ascii="宋体" w:hAnsi="宋体" w:cs="宋体"/>
      <w:kern w:val="0"/>
      <w:sz w:val="24"/>
      <w:szCs w:val="24"/>
    </w:rPr>
  </w:style>
  <w:style w:type="paragraph" w:styleId="12">
    <w:name w:val="Date"/>
    <w:basedOn w:val="1"/>
    <w:next w:val="1"/>
    <w:link w:val="32"/>
    <w:unhideWhenUsed/>
    <w:uiPriority w:val="99"/>
    <w:pPr>
      <w:ind w:left="100" w:leftChars="2500"/>
    </w:pPr>
  </w:style>
  <w:style w:type="paragraph" w:styleId="13">
    <w:name w:val="Balloon Text"/>
    <w:basedOn w:val="1"/>
    <w:link w:val="33"/>
    <w:unhideWhenUsed/>
    <w:uiPriority w:val="99"/>
    <w:rPr>
      <w:sz w:val="18"/>
      <w:szCs w:val="18"/>
    </w:rPr>
  </w:style>
  <w:style w:type="paragraph" w:styleId="14">
    <w:name w:val="footer"/>
    <w:basedOn w:val="1"/>
    <w:link w:val="34"/>
    <w:uiPriority w:val="99"/>
    <w:pPr>
      <w:tabs>
        <w:tab w:val="center" w:pos="4153"/>
        <w:tab w:val="right" w:pos="8306"/>
      </w:tabs>
      <w:snapToGrid w:val="0"/>
      <w:jc w:val="left"/>
    </w:pPr>
    <w:rPr>
      <w:sz w:val="18"/>
      <w:szCs w:val="18"/>
    </w:rPr>
  </w:style>
  <w:style w:type="paragraph" w:styleId="15">
    <w:name w:val="header"/>
    <w:basedOn w:val="1"/>
    <w:link w:val="35"/>
    <w:semiHidden/>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9">
    <w:name w:val="page number"/>
    <w:uiPriority w:val="0"/>
  </w:style>
  <w:style w:type="character" w:styleId="20">
    <w:name w:val="FollowedHyperlink"/>
    <w:semiHidden/>
    <w:qFormat/>
    <w:uiPriority w:val="99"/>
    <w:rPr>
      <w:color w:val="auto"/>
      <w:u w:val="none"/>
    </w:rPr>
  </w:style>
  <w:style w:type="character" w:styleId="21">
    <w:name w:val="Emphasis"/>
    <w:qFormat/>
    <w:uiPriority w:val="99"/>
  </w:style>
  <w:style w:type="character" w:styleId="22">
    <w:name w:val="Hyperlink"/>
    <w:semiHidden/>
    <w:qFormat/>
    <w:uiPriority w:val="99"/>
    <w:rPr>
      <w:color w:val="auto"/>
      <w:u w:val="none"/>
    </w:rPr>
  </w:style>
  <w:style w:type="character" w:styleId="23">
    <w:name w:val="HTML Code"/>
    <w:semiHidden/>
    <w:uiPriority w:val="99"/>
    <w:rPr>
      <w:rFonts w:ascii="宋体" w:hAnsi="宋体" w:eastAsia="宋体" w:cs="宋体"/>
      <w:sz w:val="24"/>
      <w:szCs w:val="24"/>
    </w:rPr>
  </w:style>
  <w:style w:type="character" w:styleId="24">
    <w:name w:val="HTML Cite"/>
    <w:semiHidden/>
    <w:uiPriority w:val="99"/>
  </w:style>
  <w:style w:type="character" w:customStyle="1" w:styleId="25">
    <w:name w:val="标题 1 Char"/>
    <w:link w:val="3"/>
    <w:locked/>
    <w:uiPriority w:val="99"/>
    <w:rPr>
      <w:rFonts w:ascii="宋体" w:hAnsi="宋体" w:eastAsia="宋体" w:cs="宋体"/>
      <w:kern w:val="36"/>
      <w:sz w:val="48"/>
      <w:szCs w:val="48"/>
    </w:rPr>
  </w:style>
  <w:style w:type="character" w:customStyle="1" w:styleId="26">
    <w:name w:val="标题 2 Char"/>
    <w:link w:val="4"/>
    <w:qFormat/>
    <w:locked/>
    <w:uiPriority w:val="99"/>
    <w:rPr>
      <w:rFonts w:ascii="宋体" w:hAnsi="宋体" w:eastAsia="宋体" w:cs="宋体"/>
      <w:kern w:val="0"/>
      <w:sz w:val="36"/>
      <w:szCs w:val="36"/>
    </w:rPr>
  </w:style>
  <w:style w:type="character" w:customStyle="1" w:styleId="27">
    <w:name w:val="标题 3 Char"/>
    <w:link w:val="5"/>
    <w:qFormat/>
    <w:locked/>
    <w:uiPriority w:val="99"/>
    <w:rPr>
      <w:rFonts w:ascii="宋体" w:hAnsi="宋体" w:eastAsia="宋体" w:cs="宋体"/>
      <w:kern w:val="0"/>
      <w:sz w:val="27"/>
      <w:szCs w:val="27"/>
    </w:rPr>
  </w:style>
  <w:style w:type="character" w:customStyle="1" w:styleId="28">
    <w:name w:val="标题 4 Char"/>
    <w:link w:val="6"/>
    <w:locked/>
    <w:uiPriority w:val="99"/>
    <w:rPr>
      <w:rFonts w:ascii="宋体" w:hAnsi="宋体" w:eastAsia="宋体" w:cs="宋体"/>
      <w:kern w:val="0"/>
      <w:sz w:val="24"/>
      <w:szCs w:val="24"/>
    </w:rPr>
  </w:style>
  <w:style w:type="character" w:customStyle="1" w:styleId="29">
    <w:name w:val="标题 5 Char"/>
    <w:link w:val="7"/>
    <w:locked/>
    <w:uiPriority w:val="99"/>
    <w:rPr>
      <w:rFonts w:ascii="宋体" w:hAnsi="宋体" w:eastAsia="宋体" w:cs="宋体"/>
      <w:kern w:val="0"/>
      <w:sz w:val="20"/>
      <w:szCs w:val="20"/>
    </w:rPr>
  </w:style>
  <w:style w:type="character" w:customStyle="1" w:styleId="30">
    <w:name w:val="标题 6 Char"/>
    <w:link w:val="8"/>
    <w:locked/>
    <w:uiPriority w:val="99"/>
    <w:rPr>
      <w:rFonts w:ascii="宋体" w:hAnsi="宋体" w:eastAsia="宋体" w:cs="宋体"/>
      <w:kern w:val="0"/>
      <w:sz w:val="15"/>
      <w:szCs w:val="15"/>
    </w:rPr>
  </w:style>
  <w:style w:type="character" w:customStyle="1" w:styleId="31">
    <w:name w:val="HTML 地址 Char"/>
    <w:link w:val="11"/>
    <w:semiHidden/>
    <w:locked/>
    <w:uiPriority w:val="99"/>
    <w:rPr>
      <w:rFonts w:ascii="宋体" w:hAnsi="宋体" w:eastAsia="宋体" w:cs="宋体"/>
      <w:kern w:val="0"/>
      <w:sz w:val="24"/>
      <w:szCs w:val="24"/>
    </w:rPr>
  </w:style>
  <w:style w:type="character" w:customStyle="1" w:styleId="32">
    <w:name w:val="日期 Char"/>
    <w:link w:val="12"/>
    <w:semiHidden/>
    <w:uiPriority w:val="99"/>
    <w:rPr>
      <w:rFonts w:cs="Calibri"/>
      <w:kern w:val="2"/>
      <w:sz w:val="21"/>
      <w:szCs w:val="21"/>
    </w:rPr>
  </w:style>
  <w:style w:type="character" w:customStyle="1" w:styleId="33">
    <w:name w:val="批注框文本 Char"/>
    <w:link w:val="13"/>
    <w:semiHidden/>
    <w:uiPriority w:val="99"/>
    <w:rPr>
      <w:rFonts w:cs="Calibri"/>
      <w:kern w:val="2"/>
      <w:sz w:val="18"/>
      <w:szCs w:val="18"/>
    </w:rPr>
  </w:style>
  <w:style w:type="character" w:customStyle="1" w:styleId="34">
    <w:name w:val="页脚 Char"/>
    <w:link w:val="14"/>
    <w:locked/>
    <w:uiPriority w:val="99"/>
    <w:rPr>
      <w:sz w:val="18"/>
      <w:szCs w:val="18"/>
    </w:rPr>
  </w:style>
  <w:style w:type="character" w:customStyle="1" w:styleId="35">
    <w:name w:val="页眉 Char"/>
    <w:link w:val="15"/>
    <w:semiHidden/>
    <w:locked/>
    <w:uiPriority w:val="99"/>
    <w:rPr>
      <w:sz w:val="18"/>
      <w:szCs w:val="18"/>
    </w:rPr>
  </w:style>
  <w:style w:type="character" w:customStyle="1" w:styleId="36">
    <w:name w:val="hj-easyread-speakerprocesser-position-action-icon1"/>
    <w:uiPriority w:val="99"/>
    <w:rPr>
      <w:shd w:val="clear" w:color="auto" w:fill="auto"/>
    </w:rPr>
  </w:style>
  <w:style w:type="character" w:customStyle="1" w:styleId="37">
    <w:name w:val="hj-easyread-speakerprocesser-position-action-icon"/>
    <w:uiPriority w:val="99"/>
  </w:style>
  <w:style w:type="paragraph" w:customStyle="1" w:styleId="3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40">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1">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2">
    <w:name w:val="cf14"/>
    <w:basedOn w:val="1"/>
    <w:uiPriority w:val="99"/>
    <w:pPr>
      <w:widowControl/>
      <w:spacing w:before="100" w:beforeAutospacing="1" w:after="100" w:afterAutospacing="1"/>
      <w:jc w:val="left"/>
    </w:pPr>
    <w:rPr>
      <w:rFonts w:ascii="宋体" w:hAnsi="宋体" w:cs="宋体"/>
      <w:kern w:val="0"/>
    </w:rPr>
  </w:style>
  <w:style w:type="paragraph" w:customStyle="1" w:styleId="43">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45">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46">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7">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w9801"/>
    <w:basedOn w:val="1"/>
    <w:uiPriority w:val="99"/>
    <w:pPr>
      <w:widowControl/>
      <w:jc w:val="left"/>
    </w:pPr>
    <w:rPr>
      <w:rFonts w:ascii="宋体" w:hAnsi="宋体" w:cs="宋体"/>
      <w:kern w:val="0"/>
      <w:sz w:val="24"/>
      <w:szCs w:val="24"/>
    </w:rPr>
  </w:style>
  <w:style w:type="paragraph" w:customStyle="1" w:styleId="49">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51">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52">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53">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54">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56">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57">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58">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62">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64">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66">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71">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72">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3">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82">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3">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paragraph" w:customStyle="1" w:styleId="85">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87">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88">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89">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98">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100">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01">
    <w:name w:val="List Paragraph"/>
    <w:basedOn w:val="1"/>
    <w:qFormat/>
    <w:uiPriority w:val="99"/>
    <w:pPr>
      <w:ind w:firstLine="420" w:firstLineChars="200"/>
    </w:pPr>
  </w:style>
  <w:style w:type="paragraph" w:customStyle="1" w:styleId="102">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03">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104">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tipscontrol-btn1"/>
    <w:basedOn w:val="1"/>
    <w:uiPriority w:val="99"/>
    <w:pPr>
      <w:widowControl/>
      <w:spacing w:before="100" w:beforeAutospacing="1" w:after="135" w:line="17536" w:lineRule="exact"/>
      <w:jc w:val="left"/>
    </w:pPr>
    <w:rPr>
      <w:rFonts w:ascii="宋体" w:hAnsi="宋体" w:cs="宋体"/>
      <w:kern w:val="0"/>
      <w:sz w:val="2"/>
      <w:szCs w:val="2"/>
    </w:rPr>
  </w:style>
  <w:style w:type="paragraph" w:customStyle="1" w:styleId="106">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113">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117">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18">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119">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120">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121">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22">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123">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4">
    <w:name w:val="returntotop-btn1"/>
    <w:basedOn w:val="1"/>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5">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126">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28">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search1"/>
    <w:basedOn w:val="1"/>
    <w:uiPriority w:val="99"/>
    <w:pPr>
      <w:widowControl/>
      <w:spacing w:line="660" w:lineRule="atLeast"/>
      <w:jc w:val="left"/>
    </w:pPr>
    <w:rPr>
      <w:rFonts w:ascii="宋体" w:hAnsi="宋体" w:cs="宋体"/>
      <w:kern w:val="0"/>
      <w:sz w:val="24"/>
      <w:szCs w:val="24"/>
    </w:rPr>
  </w:style>
  <w:style w:type="paragraph" w:customStyle="1" w:styleId="133">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date"/>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35">
    <w:name w:val="font13"/>
    <w:uiPriority w:val="0"/>
    <w:rPr>
      <w:rFonts w:hint="default" w:ascii="Times New Roman" w:hAnsi="Times New Roman" w:cs="Times New Roman"/>
      <w:color w:val="000000"/>
      <w:sz w:val="24"/>
      <w:szCs w:val="24"/>
      <w:u w:val="none"/>
    </w:rPr>
  </w:style>
  <w:style w:type="character" w:customStyle="1" w:styleId="136">
    <w:name w:val="font01"/>
    <w:uiPriority w:val="0"/>
    <w:rPr>
      <w:rFonts w:hint="eastAsia" w:ascii="宋体" w:hAnsi="宋体" w:eastAsia="宋体" w:cs="宋体"/>
      <w:color w:val="000000"/>
      <w:sz w:val="24"/>
      <w:szCs w:val="24"/>
      <w:u w:val="none"/>
    </w:rPr>
  </w:style>
  <w:style w:type="character" w:customStyle="1" w:styleId="137">
    <w:name w:val="font91"/>
    <w:uiPriority w:val="0"/>
    <w:rPr>
      <w:rFonts w:hint="eastAsia" w:ascii="宋体" w:hAnsi="宋体" w:eastAsia="宋体" w:cs="宋体"/>
      <w:b/>
      <w:bCs/>
      <w:color w:val="000000"/>
      <w:sz w:val="22"/>
      <w:szCs w:val="22"/>
      <w:u w:val="none"/>
    </w:rPr>
  </w:style>
  <w:style w:type="character" w:customStyle="1" w:styleId="138">
    <w:name w:val="font111"/>
    <w:uiPriority w:val="0"/>
    <w:rPr>
      <w:rFonts w:hint="eastAsia" w:ascii="仿宋" w:hAnsi="仿宋" w:eastAsia="仿宋" w:cs="仿宋"/>
      <w:color w:val="000000"/>
      <w:sz w:val="22"/>
      <w:szCs w:val="22"/>
      <w:u w:val="none"/>
    </w:rPr>
  </w:style>
  <w:style w:type="character" w:customStyle="1" w:styleId="139">
    <w:name w:val="font61"/>
    <w:uiPriority w:val="0"/>
    <w:rPr>
      <w:rFonts w:hint="default" w:ascii="Times New Roman" w:hAnsi="Times New Roman" w:cs="Times New Roman"/>
      <w:color w:val="000000"/>
      <w:sz w:val="22"/>
      <w:szCs w:val="22"/>
      <w:u w:val="none"/>
    </w:rPr>
  </w:style>
  <w:style w:type="character" w:customStyle="1" w:styleId="140">
    <w:name w:val="font121"/>
    <w:uiPriority w:val="0"/>
    <w:rPr>
      <w:rFonts w:hint="eastAsia" w:ascii="宋体" w:hAnsi="宋体" w:eastAsia="宋体" w:cs="宋体"/>
      <w:color w:val="000000"/>
      <w:sz w:val="22"/>
      <w:szCs w:val="22"/>
      <w:u w:val="none"/>
    </w:rPr>
  </w:style>
  <w:style w:type="character" w:customStyle="1" w:styleId="141">
    <w:name w:val="font21"/>
    <w:uiPriority w:val="0"/>
    <w:rPr>
      <w:rFonts w:hint="default" w:ascii="Times New Roman" w:hAnsi="Times New Roman" w:cs="Times New Roman"/>
      <w:b/>
      <w:bCs/>
      <w:color w:val="000000"/>
      <w:sz w:val="22"/>
      <w:szCs w:val="22"/>
      <w:u w:val="none"/>
    </w:rPr>
  </w:style>
  <w:style w:type="character" w:customStyle="1" w:styleId="142">
    <w:name w:val="font141"/>
    <w:uiPriority w:val="0"/>
    <w:rPr>
      <w:rFonts w:hint="default" w:ascii="Times New Roman" w:hAnsi="Times New Roman" w:cs="Times New Roman"/>
      <w:color w:val="000000"/>
      <w:sz w:val="20"/>
      <w:szCs w:val="20"/>
      <w:u w:val="none"/>
    </w:rPr>
  </w:style>
  <w:style w:type="character" w:customStyle="1" w:styleId="143">
    <w:name w:val="font132"/>
    <w:uiPriority w:val="0"/>
    <w:rPr>
      <w:rFonts w:hint="eastAsia" w:ascii="仿宋" w:hAnsi="仿宋" w:eastAsia="仿宋" w:cs="仿宋"/>
      <w:color w:val="000000"/>
      <w:sz w:val="20"/>
      <w:szCs w:val="20"/>
      <w:u w:val="none"/>
    </w:rPr>
  </w:style>
  <w:style w:type="character" w:customStyle="1" w:styleId="144">
    <w:name w:val="font11"/>
    <w:uiPriority w:val="0"/>
    <w:rPr>
      <w:rFonts w:hint="default" w:ascii="Times New Roman" w:hAnsi="Times New Roman" w:cs="Times New Roman"/>
      <w:color w:val="000000"/>
      <w:sz w:val="22"/>
      <w:szCs w:val="22"/>
      <w:u w:val="none"/>
    </w:rPr>
  </w:style>
  <w:style w:type="character" w:customStyle="1" w:styleId="145">
    <w:name w:val="font41"/>
    <w:uiPriority w:val="0"/>
    <w:rPr>
      <w:rFonts w:hint="eastAsia" w:ascii="仿宋" w:hAnsi="仿宋" w:eastAsia="仿宋" w:cs="仿宋"/>
      <w:color w:val="000000"/>
      <w:sz w:val="22"/>
      <w:szCs w:val="22"/>
      <w:u w:val="none"/>
    </w:rPr>
  </w:style>
  <w:style w:type="character" w:customStyle="1" w:styleId="146">
    <w:name w:val="font151"/>
    <w:uiPriority w:val="0"/>
    <w:rPr>
      <w:rFonts w:hint="eastAsia" w:ascii="宋体" w:hAnsi="宋体" w:eastAsia="宋体" w:cs="宋体"/>
      <w:color w:val="000000"/>
      <w:sz w:val="22"/>
      <w:szCs w:val="22"/>
      <w:u w:val="none"/>
    </w:rPr>
  </w:style>
  <w:style w:type="character" w:customStyle="1" w:styleId="147">
    <w:name w:val="font101"/>
    <w:uiPriority w:val="0"/>
    <w:rPr>
      <w:rFonts w:hint="default" w:ascii="Times New Roman" w:hAnsi="Times New Roman" w:cs="Times New Roman"/>
      <w:color w:val="000000"/>
      <w:sz w:val="22"/>
      <w:szCs w:val="22"/>
      <w:u w:val="none"/>
    </w:rPr>
  </w:style>
  <w:style w:type="character" w:customStyle="1" w:styleId="148">
    <w:name w:val="font161"/>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5067</Words>
  <Characters>5338</Characters>
  <Lines>74</Lines>
  <Paragraphs>20</Paragraphs>
  <TotalTime>2</TotalTime>
  <ScaleCrop>false</ScaleCrop>
  <LinksUpToDate>false</LinksUpToDate>
  <CharactersWithSpaces>5391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2020-08-04T09:42:00Z</dcterms:created>
  <dc:creator>ASUS</dc:creator>
  <cp:lastModifiedBy>杨光灿</cp:lastModifiedBy>
  <cp:lastPrinted>2023-09-25T02:47:00Z</cp:lastPrinted>
  <dcterms:modified xsi:type="dcterms:W3CDTF">2025-08-29T04:06:16Z</dcterms:modified>
  <dc:title>2014年度常德市社会劳动保险处</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DD110849A3294DF98DC27CE100E1F1FD_13</vt:lpwstr>
  </property>
  <property fmtid="{D5CDD505-2E9C-101B-9397-08002B2CF9AE}" pid="4" name="KSOTemplateDocerSaveRecord">
    <vt:lpwstr>eyJoZGlkIjoiOTEwMDZjM2M2ZjE3MzJlMzYwYTQwYjczYzA4NGVlZTQiLCJ1c2VySWQiOiIxNDYzMjYzNzkxIn0=</vt:lpwstr>
  </property>
</Properties>
</file>