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AC509">
      <w:pPr>
        <w:widowControl/>
        <w:spacing w:line="560" w:lineRule="exact"/>
        <w:rPr>
          <w:rFonts w:hint="eastAsia" w:ascii="仿宋_GB2312" w:hAnsi="Times New Roman" w:eastAsia="仿宋_GB2312" w:cs="Times New Roman"/>
          <w:color w:val="222222"/>
          <w:kern w:val="0"/>
          <w:sz w:val="32"/>
          <w:szCs w:val="32"/>
        </w:rPr>
      </w:pPr>
    </w:p>
    <w:p w14:paraId="6AECCD0A">
      <w:pPr>
        <w:spacing w:line="560" w:lineRule="exact"/>
        <w:jc w:val="center"/>
        <w:rPr>
          <w:rFonts w:hint="eastAsia" w:ascii="方正小标宋简体" w:hAnsi="Times New Roman" w:eastAsia="方正小标宋简体" w:cs="Times New Roman"/>
          <w:kern w:val="0"/>
          <w:sz w:val="44"/>
          <w:szCs w:val="44"/>
        </w:rPr>
      </w:pPr>
    </w:p>
    <w:p w14:paraId="752769A3">
      <w:pPr>
        <w:spacing w:line="560" w:lineRule="exact"/>
        <w:jc w:val="center"/>
        <w:rPr>
          <w:rFonts w:hint="eastAsia" w:ascii="方正小标宋简体" w:hAnsi="Times New Roman" w:eastAsia="方正小标宋简体" w:cs="Times New Roman"/>
          <w:kern w:val="0"/>
          <w:sz w:val="44"/>
          <w:szCs w:val="44"/>
        </w:rPr>
      </w:pPr>
    </w:p>
    <w:p w14:paraId="3FAB9D52">
      <w:pPr>
        <w:spacing w:line="560" w:lineRule="exact"/>
        <w:jc w:val="center"/>
        <w:rPr>
          <w:rFonts w:hint="eastAsia" w:ascii="方正小标宋简体" w:hAnsi="Times New Roman" w:eastAsia="方正小标宋简体" w:cs="Times New Roman"/>
          <w:kern w:val="0"/>
          <w:sz w:val="44"/>
          <w:szCs w:val="44"/>
        </w:rPr>
      </w:pPr>
    </w:p>
    <w:p w14:paraId="0EF1D83C">
      <w:pPr>
        <w:spacing w:line="560" w:lineRule="exact"/>
        <w:jc w:val="center"/>
        <w:rPr>
          <w:rFonts w:hint="eastAsia" w:ascii="方正小标宋简体" w:hAnsi="Times New Roman" w:eastAsia="方正小标宋简体" w:cs="Times New Roman"/>
          <w:kern w:val="0"/>
          <w:sz w:val="44"/>
          <w:szCs w:val="44"/>
        </w:rPr>
      </w:pPr>
    </w:p>
    <w:p w14:paraId="2F63F711">
      <w:pPr>
        <w:spacing w:line="560" w:lineRule="exact"/>
        <w:jc w:val="center"/>
        <w:rPr>
          <w:rFonts w:hint="eastAsia" w:ascii="方正小标宋简体" w:hAnsi="Times New Roman" w:eastAsia="方正小标宋简体" w:cs="Times New Roman"/>
          <w:kern w:val="0"/>
          <w:sz w:val="44"/>
          <w:szCs w:val="44"/>
        </w:rPr>
      </w:pPr>
    </w:p>
    <w:p w14:paraId="3A420673">
      <w:pPr>
        <w:spacing w:line="480" w:lineRule="auto"/>
        <w:jc w:val="center"/>
        <w:rPr>
          <w:rFonts w:hint="eastAsia" w:ascii="方正小标宋简体" w:hAnsi="Times New Roman" w:eastAsia="方正小标宋简体" w:cs="Times New Roman"/>
          <w:kern w:val="0"/>
          <w:sz w:val="48"/>
          <w:szCs w:val="48"/>
        </w:rPr>
      </w:pPr>
      <w:r>
        <w:rPr>
          <w:rFonts w:hint="eastAsia" w:ascii="方正小标宋简体" w:hAnsi="Times New Roman" w:eastAsia="方正小标宋简体" w:cs="Times New Roman"/>
          <w:kern w:val="0"/>
          <w:sz w:val="48"/>
          <w:szCs w:val="48"/>
        </w:rPr>
        <w:t>202</w:t>
      </w:r>
      <w:r>
        <w:rPr>
          <w:rFonts w:hint="eastAsia" w:ascii="方正小标宋简体" w:eastAsia="方正小标宋简体" w:cs="Times New Roman"/>
          <w:kern w:val="0"/>
          <w:sz w:val="48"/>
          <w:szCs w:val="48"/>
          <w:lang w:val="en-US" w:eastAsia="zh-CN"/>
        </w:rPr>
        <w:t>5</w:t>
      </w:r>
      <w:r>
        <w:rPr>
          <w:rFonts w:hint="eastAsia" w:ascii="方正小标宋简体" w:hAnsi="Times New Roman" w:eastAsia="方正小标宋简体" w:cs="Times New Roman"/>
          <w:kern w:val="0"/>
          <w:sz w:val="48"/>
          <w:szCs w:val="48"/>
        </w:rPr>
        <w:t>年度</w:t>
      </w:r>
      <w:r>
        <w:rPr>
          <w:rFonts w:hint="eastAsia" w:ascii="方正小标宋简体" w:eastAsia="方正小标宋简体" w:cs="Times New Roman"/>
          <w:kern w:val="0"/>
          <w:sz w:val="48"/>
          <w:szCs w:val="48"/>
          <w:lang w:eastAsia="zh-CN"/>
        </w:rPr>
        <w:t>常德市武陵区人大常委会</w:t>
      </w:r>
      <w:r>
        <w:rPr>
          <w:rFonts w:hint="eastAsia" w:ascii="方正小标宋简体" w:hAnsi="Times New Roman" w:eastAsia="方正小标宋简体" w:cs="Times New Roman"/>
          <w:kern w:val="0"/>
          <w:sz w:val="48"/>
          <w:szCs w:val="48"/>
        </w:rPr>
        <w:t>整体支出绩效自评报告</w:t>
      </w:r>
    </w:p>
    <w:p w14:paraId="4CAA97E3">
      <w:pPr>
        <w:spacing w:line="480" w:lineRule="auto"/>
        <w:jc w:val="center"/>
        <w:rPr>
          <w:rFonts w:hint="eastAsia" w:ascii="方正小标宋简体" w:hAnsi="Times New Roman" w:eastAsia="方正小标宋简体" w:cs="Times New Roman"/>
          <w:kern w:val="0"/>
          <w:sz w:val="48"/>
          <w:szCs w:val="48"/>
        </w:rPr>
      </w:pPr>
    </w:p>
    <w:p w14:paraId="431DE957">
      <w:pPr>
        <w:spacing w:line="480" w:lineRule="auto"/>
        <w:jc w:val="center"/>
        <w:rPr>
          <w:rFonts w:hint="eastAsia" w:ascii="方正小标宋简体" w:hAnsi="Times New Roman" w:eastAsia="方正小标宋简体" w:cs="Times New Roman"/>
          <w:kern w:val="0"/>
          <w:sz w:val="48"/>
          <w:szCs w:val="48"/>
        </w:rPr>
      </w:pPr>
    </w:p>
    <w:p w14:paraId="37A78567">
      <w:pPr>
        <w:spacing w:line="480" w:lineRule="auto"/>
        <w:jc w:val="center"/>
        <w:rPr>
          <w:rFonts w:hint="eastAsia" w:ascii="方正小标宋简体" w:hAnsi="Times New Roman" w:eastAsia="方正小标宋简体" w:cs="Times New Roman"/>
          <w:kern w:val="0"/>
          <w:sz w:val="48"/>
          <w:szCs w:val="48"/>
        </w:rPr>
      </w:pPr>
    </w:p>
    <w:p w14:paraId="4151BEDC">
      <w:pPr>
        <w:spacing w:line="480" w:lineRule="auto"/>
        <w:jc w:val="center"/>
        <w:rPr>
          <w:rFonts w:hint="eastAsia" w:ascii="方正小标宋简体" w:hAnsi="Times New Roman" w:eastAsia="方正小标宋简体" w:cs="Times New Roman"/>
          <w:kern w:val="0"/>
          <w:sz w:val="48"/>
          <w:szCs w:val="48"/>
        </w:rPr>
      </w:pPr>
    </w:p>
    <w:p w14:paraId="60A138D2">
      <w:pPr>
        <w:spacing w:line="480" w:lineRule="auto"/>
        <w:jc w:val="left"/>
        <w:rPr>
          <w:rFonts w:hint="eastAsia" w:ascii="仿宋_GB2312" w:hAnsi="Times New Roman" w:eastAsia="仿宋_GB2312" w:cs="Times New Roman"/>
          <w:kern w:val="0"/>
          <w:sz w:val="32"/>
          <w:szCs w:val="32"/>
        </w:rPr>
      </w:pPr>
    </w:p>
    <w:p w14:paraId="38145A8F">
      <w:pPr>
        <w:spacing w:line="480" w:lineRule="auto"/>
        <w:jc w:val="center"/>
        <w:rPr>
          <w:rFonts w:hint="eastAsia" w:ascii="仿宋_GB2312" w:hAnsi="Times New Roman" w:eastAsia="仿宋_GB2312" w:cs="Times New Roman"/>
          <w:kern w:val="0"/>
          <w:sz w:val="32"/>
          <w:szCs w:val="32"/>
          <w:u w:val="single"/>
        </w:rPr>
      </w:pPr>
      <w:r>
        <w:rPr>
          <w:rFonts w:hint="eastAsia" w:ascii="仿宋_GB2312" w:hAnsi="Times New Roman" w:eastAsia="仿宋_GB2312" w:cs="Times New Roman"/>
          <w:kern w:val="0"/>
          <w:sz w:val="32"/>
          <w:szCs w:val="32"/>
        </w:rPr>
        <w:t>单位名称：</w:t>
      </w:r>
      <w:r>
        <w:rPr>
          <w:rFonts w:hint="eastAsia" w:ascii="仿宋_GB2312" w:eastAsia="仿宋_GB2312" w:cs="Times New Roman"/>
          <w:kern w:val="0"/>
          <w:sz w:val="32"/>
          <w:szCs w:val="32"/>
          <w:u w:val="single"/>
          <w:lang w:eastAsia="zh-CN"/>
        </w:rPr>
        <w:t>常德市武陵区</w:t>
      </w:r>
      <w:r>
        <w:rPr>
          <w:rFonts w:hint="eastAsia" w:ascii="仿宋_GB2312" w:eastAsia="仿宋_GB2312" w:cs="Times New Roman"/>
          <w:kern w:val="0"/>
          <w:sz w:val="32"/>
          <w:szCs w:val="32"/>
          <w:u w:val="single"/>
          <w:lang w:val="en-US" w:eastAsia="zh-CN"/>
        </w:rPr>
        <w:t>人大常委会</w:t>
      </w:r>
    </w:p>
    <w:p w14:paraId="704F43A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仿宋_GB2312" w:hAnsi="Times New Roman" w:eastAsia="仿宋_GB2312" w:cs="Times New Roman"/>
          <w:kern w:val="0"/>
          <w:sz w:val="32"/>
          <w:szCs w:val="32"/>
        </w:rPr>
      </w:pPr>
      <w:r>
        <w:rPr>
          <w:rFonts w:hint="eastAsia" w:ascii="仿宋_GB2312" w:hAnsi="Times New Roman" w:eastAsia="仿宋_GB2312" w:cs="Times New Roman"/>
          <w:kern w:val="0"/>
          <w:sz w:val="32"/>
          <w:szCs w:val="32"/>
          <w:lang w:val="en-US" w:eastAsia="zh-CN"/>
        </w:rPr>
        <w:t>202</w:t>
      </w:r>
      <w:r>
        <w:rPr>
          <w:rFonts w:hint="eastAsia" w:ascii="仿宋_GB2312" w:eastAsia="仿宋_GB2312" w:cs="Times New Roman"/>
          <w:kern w:val="0"/>
          <w:sz w:val="32"/>
          <w:szCs w:val="32"/>
          <w:lang w:val="en-US" w:eastAsia="zh-CN"/>
        </w:rPr>
        <w:t>6</w:t>
      </w:r>
      <w:r>
        <w:rPr>
          <w:rFonts w:hint="eastAsia" w:ascii="仿宋_GB2312" w:hAnsi="Times New Roman" w:eastAsia="仿宋_GB2312" w:cs="Times New Roman"/>
          <w:kern w:val="0"/>
          <w:sz w:val="32"/>
          <w:szCs w:val="32"/>
        </w:rPr>
        <w:t>年</w:t>
      </w:r>
      <w:r>
        <w:rPr>
          <w:rFonts w:hint="eastAsia" w:ascii="仿宋_GB2312" w:eastAsia="仿宋_GB2312" w:cs="Times New Roman"/>
          <w:kern w:val="0"/>
          <w:sz w:val="32"/>
          <w:szCs w:val="32"/>
          <w:lang w:val="en-US" w:eastAsia="zh-CN"/>
        </w:rPr>
        <w:t>9</w:t>
      </w:r>
      <w:r>
        <w:rPr>
          <w:rFonts w:hint="eastAsia" w:ascii="仿宋_GB2312" w:hAnsi="Times New Roman" w:eastAsia="仿宋_GB2312" w:cs="Times New Roman"/>
          <w:kern w:val="0"/>
          <w:sz w:val="32"/>
          <w:szCs w:val="32"/>
        </w:rPr>
        <w:t>月</w:t>
      </w:r>
      <w:r>
        <w:rPr>
          <w:rFonts w:hint="eastAsia" w:ascii="仿宋_GB2312" w:eastAsia="仿宋_GB2312" w:cs="Times New Roman"/>
          <w:kern w:val="0"/>
          <w:sz w:val="32"/>
          <w:szCs w:val="32"/>
          <w:lang w:val="en-US" w:eastAsia="zh-CN"/>
        </w:rPr>
        <w:t>1</w:t>
      </w:r>
      <w:r>
        <w:rPr>
          <w:rFonts w:hint="eastAsia" w:ascii="仿宋_GB2312" w:hAnsi="Times New Roman" w:eastAsia="仿宋_GB2312" w:cs="Times New Roman"/>
          <w:kern w:val="0"/>
          <w:sz w:val="32"/>
          <w:szCs w:val="32"/>
          <w:lang w:val="en-US" w:eastAsia="zh-CN"/>
        </w:rPr>
        <w:t>7</w:t>
      </w:r>
      <w:r>
        <w:rPr>
          <w:rFonts w:hint="eastAsia" w:ascii="仿宋_GB2312" w:hAnsi="Times New Roman" w:eastAsia="仿宋_GB2312" w:cs="Times New Roman"/>
          <w:kern w:val="0"/>
          <w:sz w:val="32"/>
          <w:szCs w:val="32"/>
        </w:rPr>
        <w:t>日</w:t>
      </w:r>
    </w:p>
    <w:p w14:paraId="0051EE19">
      <w:pPr>
        <w:spacing w:line="576" w:lineRule="exact"/>
        <w:jc w:val="center"/>
        <w:rPr>
          <w:rFonts w:eastAsia="方正小标宋简体" w:cs="Times New Roman"/>
          <w:w w:val="96"/>
          <w:kern w:val="0"/>
          <w:sz w:val="44"/>
          <w:szCs w:val="44"/>
        </w:rPr>
        <w:sectPr>
          <w:footerReference r:id="rId3" w:type="default"/>
          <w:footerReference r:id="rId4" w:type="even"/>
          <w:pgSz w:w="11906" w:h="16838"/>
          <w:pgMar w:top="2098" w:right="1418" w:bottom="1985" w:left="1531" w:header="851" w:footer="1361" w:gutter="0"/>
          <w:pgNumType w:start="1"/>
          <w:cols w:space="720" w:num="1"/>
          <w:docGrid w:type="lines" w:linePitch="312" w:charSpace="0"/>
        </w:sectPr>
      </w:pPr>
    </w:p>
    <w:p w14:paraId="2DDE5E5C">
      <w:pPr>
        <w:spacing w:line="576" w:lineRule="exact"/>
        <w:jc w:val="center"/>
        <w:rPr>
          <w:rFonts w:eastAsia="方正小标宋简体" w:cs="Times New Roman"/>
          <w:w w:val="96"/>
          <w:kern w:val="0"/>
          <w:sz w:val="44"/>
          <w:szCs w:val="44"/>
        </w:rPr>
      </w:pPr>
      <w:r>
        <w:rPr>
          <w:rFonts w:hint="eastAsia" w:eastAsia="方正小标宋简体" w:cs="Times New Roman"/>
          <w:w w:val="96"/>
          <w:kern w:val="0"/>
          <w:sz w:val="44"/>
          <w:szCs w:val="44"/>
        </w:rPr>
        <w:t>202</w:t>
      </w:r>
      <w:r>
        <w:rPr>
          <w:rFonts w:hint="eastAsia" w:eastAsia="方正小标宋简体" w:cs="Times New Roman"/>
          <w:w w:val="96"/>
          <w:kern w:val="0"/>
          <w:sz w:val="44"/>
          <w:szCs w:val="44"/>
          <w:lang w:val="en-US" w:eastAsia="zh-CN"/>
        </w:rPr>
        <w:t>5</w:t>
      </w:r>
      <w:r>
        <w:rPr>
          <w:rFonts w:hint="eastAsia" w:eastAsia="方正小标宋简体" w:cs="Times New Roman"/>
          <w:w w:val="96"/>
          <w:kern w:val="0"/>
          <w:sz w:val="44"/>
          <w:szCs w:val="44"/>
        </w:rPr>
        <w:t>年</w:t>
      </w:r>
      <w:r>
        <w:rPr>
          <w:rFonts w:eastAsia="方正小标宋简体" w:cs="Times New Roman"/>
          <w:w w:val="96"/>
          <w:kern w:val="0"/>
          <w:sz w:val="44"/>
          <w:szCs w:val="44"/>
        </w:rPr>
        <w:t>度武陵区人大</w:t>
      </w:r>
    </w:p>
    <w:p w14:paraId="56B0AD4D">
      <w:pPr>
        <w:spacing w:line="576" w:lineRule="exact"/>
        <w:jc w:val="center"/>
        <w:rPr>
          <w:rFonts w:eastAsia="方正小标宋简体" w:cs="Times New Roman"/>
          <w:w w:val="96"/>
          <w:kern w:val="0"/>
          <w:sz w:val="44"/>
          <w:szCs w:val="44"/>
        </w:rPr>
      </w:pPr>
      <w:r>
        <w:rPr>
          <w:rFonts w:eastAsia="方正小标宋简体" w:cs="Times New Roman"/>
          <w:w w:val="96"/>
          <w:kern w:val="0"/>
          <w:sz w:val="44"/>
          <w:szCs w:val="44"/>
        </w:rPr>
        <w:t>部门整体支出绩效自评报告</w:t>
      </w:r>
    </w:p>
    <w:p w14:paraId="1F0D483D">
      <w:pPr>
        <w:widowControl/>
        <w:spacing w:line="576" w:lineRule="exact"/>
        <w:ind w:firstLine="640"/>
        <w:rPr>
          <w:rFonts w:eastAsia="仿宋" w:cs="Times New Roman"/>
          <w:color w:val="222222"/>
          <w:kern w:val="0"/>
          <w:sz w:val="32"/>
          <w:szCs w:val="32"/>
        </w:rPr>
      </w:pPr>
    </w:p>
    <w:p w14:paraId="7886ECB9">
      <w:pPr>
        <w:widowControl/>
        <w:spacing w:line="576" w:lineRule="exact"/>
        <w:ind w:firstLine="640"/>
        <w:rPr>
          <w:rFonts w:eastAsia="黑体" w:cs="Times New Roman"/>
          <w:color w:val="222222"/>
          <w:kern w:val="0"/>
          <w:sz w:val="32"/>
          <w:szCs w:val="32"/>
        </w:rPr>
      </w:pPr>
      <w:r>
        <w:rPr>
          <w:rFonts w:eastAsia="黑体" w:cs="Times New Roman"/>
          <w:color w:val="222222"/>
          <w:kern w:val="0"/>
          <w:sz w:val="32"/>
          <w:szCs w:val="32"/>
        </w:rPr>
        <w:t>一、部门概况</w:t>
      </w:r>
    </w:p>
    <w:p w14:paraId="448C589E">
      <w:pPr>
        <w:widowControl/>
        <w:spacing w:line="576" w:lineRule="exact"/>
        <w:ind w:firstLine="640"/>
        <w:rPr>
          <w:rFonts w:eastAsia="楷体" w:cs="Times New Roman"/>
          <w:color w:val="222222"/>
          <w:kern w:val="0"/>
          <w:sz w:val="32"/>
          <w:szCs w:val="32"/>
        </w:rPr>
      </w:pPr>
      <w:r>
        <w:rPr>
          <w:rFonts w:eastAsia="楷体" w:cs="Times New Roman"/>
          <w:color w:val="222222"/>
          <w:kern w:val="0"/>
          <w:sz w:val="32"/>
          <w:szCs w:val="32"/>
        </w:rPr>
        <w:t>（一）机构、人员构成</w:t>
      </w:r>
    </w:p>
    <w:p w14:paraId="498E722F">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武陵区人大常委会（以下简称区人大）是县处级单位，财政全额拨款一级预算，设人大常委会办公室、代表工作委员会、民族华侨外事委员会、监察和司法委员会、财政经济委员会、教育科学文化卫生委员会、环境与资源保护委员会、农业与农村委员会、社会建设委员会9个正科级委办和预算联网监督事务中心1个副科级事业单位。截至202</w:t>
      </w:r>
      <w:r>
        <w:rPr>
          <w:rFonts w:hint="eastAsia" w:eastAsia="仿宋" w:cs="Times New Roman"/>
          <w:color w:val="222222"/>
          <w:kern w:val="0"/>
          <w:sz w:val="32"/>
          <w:szCs w:val="32"/>
          <w:lang w:val="en-US" w:eastAsia="zh-CN"/>
        </w:rPr>
        <w:t>5</w:t>
      </w:r>
      <w:r>
        <w:rPr>
          <w:rFonts w:eastAsia="仿宋" w:cs="Times New Roman"/>
          <w:color w:val="222222"/>
          <w:kern w:val="0"/>
          <w:sz w:val="32"/>
          <w:szCs w:val="32"/>
        </w:rPr>
        <w:t>年底，机关核定编制40人，实有40人。其中行政编制35人，工勤人员2人，事业编3人。另有退休人员55人。单位负责人：</w:t>
      </w:r>
      <w:r>
        <w:rPr>
          <w:rFonts w:hint="eastAsia" w:eastAsia="仿宋" w:cs="Times New Roman"/>
          <w:color w:val="222222"/>
          <w:kern w:val="0"/>
          <w:sz w:val="32"/>
          <w:szCs w:val="32"/>
          <w:lang w:eastAsia="zh-CN"/>
        </w:rPr>
        <w:t>朱荣华</w:t>
      </w:r>
      <w:r>
        <w:rPr>
          <w:rFonts w:eastAsia="仿宋" w:cs="Times New Roman"/>
          <w:color w:val="222222"/>
          <w:kern w:val="0"/>
          <w:sz w:val="32"/>
          <w:szCs w:val="32"/>
        </w:rPr>
        <w:t>。地址：湖南省常德市武陵区柳叶大道2938号。</w:t>
      </w:r>
    </w:p>
    <w:p w14:paraId="0D7942BC">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单位资产状况：截至 202</w:t>
      </w:r>
      <w:r>
        <w:rPr>
          <w:rFonts w:hint="eastAsia" w:eastAsia="仿宋" w:cs="Times New Roman"/>
          <w:color w:val="222222"/>
          <w:kern w:val="0"/>
          <w:sz w:val="32"/>
          <w:szCs w:val="32"/>
          <w:lang w:val="en-US" w:eastAsia="zh-CN"/>
        </w:rPr>
        <w:t>5</w:t>
      </w:r>
      <w:r>
        <w:rPr>
          <w:rFonts w:eastAsia="仿宋" w:cs="Times New Roman"/>
          <w:color w:val="222222"/>
          <w:kern w:val="0"/>
          <w:sz w:val="32"/>
          <w:szCs w:val="32"/>
        </w:rPr>
        <w:t>年12月31日止，报表反映固定资产账面原值32</w:t>
      </w:r>
      <w:r>
        <w:rPr>
          <w:rFonts w:hint="eastAsia" w:eastAsia="仿宋" w:cs="Times New Roman"/>
          <w:color w:val="222222"/>
          <w:kern w:val="0"/>
          <w:sz w:val="32"/>
          <w:szCs w:val="32"/>
          <w:lang w:val="en-US" w:eastAsia="zh-CN"/>
        </w:rPr>
        <w:t>4.7</w:t>
      </w:r>
      <w:r>
        <w:rPr>
          <w:rFonts w:eastAsia="仿宋" w:cs="Times New Roman"/>
          <w:color w:val="222222"/>
          <w:kern w:val="0"/>
          <w:sz w:val="32"/>
          <w:szCs w:val="32"/>
        </w:rPr>
        <w:t>万元。</w:t>
      </w:r>
    </w:p>
    <w:p w14:paraId="7B04AE43">
      <w:pPr>
        <w:widowControl/>
        <w:spacing w:line="576" w:lineRule="exact"/>
        <w:ind w:firstLine="640"/>
        <w:rPr>
          <w:rFonts w:eastAsia="楷体" w:cs="Times New Roman"/>
          <w:color w:val="222222"/>
          <w:kern w:val="0"/>
          <w:sz w:val="32"/>
          <w:szCs w:val="32"/>
        </w:rPr>
      </w:pPr>
      <w:r>
        <w:rPr>
          <w:rFonts w:eastAsia="楷体" w:cs="Times New Roman"/>
          <w:color w:val="222222"/>
          <w:kern w:val="0"/>
          <w:sz w:val="32"/>
          <w:szCs w:val="32"/>
        </w:rPr>
        <w:t>（二）单位主要职责</w:t>
      </w:r>
    </w:p>
    <w:p w14:paraId="7BCFB1D7">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1.保证宪法、法律、行政法规和上级人民代表大会及其常务委员会决议的在本区内遵守和执行；</w:t>
      </w:r>
    </w:p>
    <w:p w14:paraId="302A1F0E">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2.领导或主持区人民代表大会代表的选举；</w:t>
      </w:r>
    </w:p>
    <w:p w14:paraId="6508B4D2">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3.召集区人民代表大会会议；</w:t>
      </w:r>
    </w:p>
    <w:p w14:paraId="5A2A981D">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4.讨论、决定本区内的政治、经济、教育、科学、文化、卫</w:t>
      </w:r>
    </w:p>
    <w:p w14:paraId="3C2F3A7B">
      <w:pPr>
        <w:widowControl/>
        <w:spacing w:line="576" w:lineRule="exact"/>
        <w:rPr>
          <w:rFonts w:eastAsia="仿宋" w:cs="Times New Roman"/>
          <w:color w:val="222222"/>
          <w:kern w:val="0"/>
          <w:sz w:val="32"/>
          <w:szCs w:val="32"/>
        </w:rPr>
      </w:pPr>
      <w:r>
        <w:rPr>
          <w:rFonts w:eastAsia="仿宋" w:cs="Times New Roman"/>
          <w:color w:val="222222"/>
          <w:kern w:val="0"/>
          <w:sz w:val="32"/>
          <w:szCs w:val="32"/>
        </w:rPr>
        <w:t>生、环境和资源保护、民政、民族等工作的重大事项；</w:t>
      </w:r>
    </w:p>
    <w:p w14:paraId="4C65B98A">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5.根据区人民政府的建议，决定对本区国民经济和社会发展计划、预算的部分变更；</w:t>
      </w:r>
    </w:p>
    <w:p w14:paraId="3221ACA6">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6.监督区人民政府、区人民法院和区人民检察院的工作，联系区人民代表大会代表，受理人民群众对上述机关和国家工作人员的申诉和意见；</w:t>
      </w:r>
    </w:p>
    <w:p w14:paraId="73F8C5ED">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7.撤销本区内乡镇人民代表大会的不适当的决议；</w:t>
      </w:r>
    </w:p>
    <w:p w14:paraId="4F596183">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8.撤销区人民政府的不适当的决定和命令；</w:t>
      </w:r>
    </w:p>
    <w:p w14:paraId="09ECA3BE">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9.在区人民代表大会闭会期间，决定副区长的个别任免；在区长和区人民法院院长、区人民检察院检察长因故不能担任职务的时候，从区人民政府、区人民法院、区人民检察院副职领导人员中决定代理的人选；决定代理检察长，须报市人民检察院和市人民代表大会常务委员会备案；</w:t>
      </w:r>
    </w:p>
    <w:p w14:paraId="52983F33">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10.根据区长的提名，决定区人民政府工作部门主要负责人的任免，并报上市人民政府备案；</w:t>
      </w:r>
    </w:p>
    <w:p w14:paraId="25220F54">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11.按照人民法院组织法和人民检察院组织法的规定，任免人民法院副院长、庭长、副庭长、审判委员会委员、审判员，任免人民检察院副检察长、检察委员会委员、检察员；</w:t>
      </w:r>
    </w:p>
    <w:p w14:paraId="7C11920B">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12.在区人民代表大会闭会期间，决定撤销个别副区长的职务；决定撤销由它任命的区人民政府其他组成人员和人民法院副院长、庭长、副庭长、审判委员会委员、审判员，人民检察院副检察长、检察委员会委员、检察员的职务；</w:t>
      </w:r>
    </w:p>
    <w:p w14:paraId="2DA84733">
      <w:pPr>
        <w:pStyle w:val="9"/>
        <w:spacing w:line="576" w:lineRule="exact"/>
        <w:ind w:firstLine="640" w:firstLineChars="200"/>
        <w:rPr>
          <w:rFonts w:cs="Times New Roman"/>
        </w:rPr>
      </w:pPr>
      <w:r>
        <w:rPr>
          <w:rFonts w:eastAsia="仿宋" w:cs="Times New Roman"/>
          <w:color w:val="222222"/>
          <w:kern w:val="0"/>
          <w:sz w:val="32"/>
          <w:szCs w:val="32"/>
        </w:rPr>
        <w:t>13.在区人民代表大会闭会期间，补选市人民代表大会出缺</w:t>
      </w:r>
    </w:p>
    <w:p w14:paraId="51C75F78">
      <w:pPr>
        <w:widowControl/>
        <w:spacing w:line="576" w:lineRule="exact"/>
        <w:rPr>
          <w:rFonts w:eastAsia="仿宋" w:cs="Times New Roman"/>
          <w:color w:val="222222"/>
          <w:kern w:val="0"/>
          <w:sz w:val="32"/>
          <w:szCs w:val="32"/>
        </w:rPr>
      </w:pPr>
      <w:r>
        <w:rPr>
          <w:rFonts w:eastAsia="仿宋" w:cs="Times New Roman"/>
          <w:color w:val="222222"/>
          <w:kern w:val="0"/>
          <w:sz w:val="32"/>
          <w:szCs w:val="32"/>
        </w:rPr>
        <w:t>的代表和罢免个别代表。</w:t>
      </w:r>
    </w:p>
    <w:p w14:paraId="1EA4A2A8">
      <w:pPr>
        <w:widowControl/>
        <w:spacing w:line="576" w:lineRule="exact"/>
        <w:ind w:firstLine="640"/>
        <w:rPr>
          <w:rFonts w:eastAsia="黑体" w:cs="Times New Roman"/>
          <w:color w:val="222222"/>
          <w:kern w:val="0"/>
          <w:sz w:val="32"/>
          <w:szCs w:val="32"/>
        </w:rPr>
      </w:pPr>
      <w:r>
        <w:rPr>
          <w:rFonts w:eastAsia="黑体" w:cs="Times New Roman"/>
          <w:color w:val="222222"/>
          <w:kern w:val="0"/>
          <w:sz w:val="32"/>
          <w:szCs w:val="32"/>
        </w:rPr>
        <w:t>二、部门财务情况</w:t>
      </w:r>
    </w:p>
    <w:p w14:paraId="318AF106">
      <w:pPr>
        <w:widowControl/>
        <w:spacing w:line="576" w:lineRule="exact"/>
        <w:ind w:firstLine="640"/>
        <w:rPr>
          <w:rFonts w:eastAsia="楷体" w:cs="Times New Roman"/>
          <w:color w:val="222222"/>
          <w:kern w:val="0"/>
          <w:sz w:val="32"/>
          <w:szCs w:val="32"/>
        </w:rPr>
      </w:pPr>
      <w:r>
        <w:rPr>
          <w:rFonts w:eastAsia="楷体" w:cs="Times New Roman"/>
          <w:color w:val="222222"/>
          <w:kern w:val="0"/>
          <w:sz w:val="32"/>
          <w:szCs w:val="32"/>
        </w:rPr>
        <w:t>（一）部门整体支出情况</w:t>
      </w:r>
    </w:p>
    <w:p w14:paraId="4F140769">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202</w:t>
      </w:r>
      <w:r>
        <w:rPr>
          <w:rFonts w:hint="eastAsia" w:eastAsia="仿宋" w:cs="Times New Roman"/>
          <w:color w:val="222222"/>
          <w:kern w:val="0"/>
          <w:sz w:val="32"/>
          <w:szCs w:val="32"/>
          <w:lang w:val="en-US" w:eastAsia="zh-CN"/>
        </w:rPr>
        <w:t>5</w:t>
      </w:r>
      <w:r>
        <w:rPr>
          <w:rFonts w:eastAsia="仿宋" w:cs="Times New Roman"/>
          <w:color w:val="222222"/>
          <w:kern w:val="0"/>
          <w:sz w:val="32"/>
          <w:szCs w:val="32"/>
        </w:rPr>
        <w:t>年区人大部门整体支出</w:t>
      </w:r>
      <w:r>
        <w:rPr>
          <w:rFonts w:hint="eastAsia" w:eastAsia="仿宋" w:cs="Times New Roman"/>
          <w:color w:val="222222"/>
          <w:kern w:val="0"/>
          <w:sz w:val="32"/>
          <w:szCs w:val="32"/>
          <w:lang w:val="en-US" w:eastAsia="zh-CN"/>
        </w:rPr>
        <w:t>1084.44</w:t>
      </w:r>
      <w:r>
        <w:rPr>
          <w:rFonts w:eastAsia="仿宋" w:cs="Times New Roman"/>
          <w:color w:val="222222"/>
          <w:kern w:val="0"/>
          <w:sz w:val="32"/>
          <w:szCs w:val="32"/>
        </w:rPr>
        <w:t>万元，其中财政拨款支出</w:t>
      </w:r>
      <w:r>
        <w:rPr>
          <w:rFonts w:hint="eastAsia" w:eastAsia="仿宋" w:cs="Times New Roman"/>
          <w:color w:val="222222"/>
          <w:kern w:val="0"/>
          <w:sz w:val="32"/>
          <w:szCs w:val="32"/>
          <w:lang w:val="en-US" w:eastAsia="zh-CN"/>
        </w:rPr>
        <w:t>1084.44</w:t>
      </w:r>
      <w:r>
        <w:rPr>
          <w:rFonts w:eastAsia="仿宋" w:cs="Times New Roman"/>
          <w:color w:val="222222"/>
          <w:kern w:val="0"/>
          <w:sz w:val="32"/>
          <w:szCs w:val="32"/>
        </w:rPr>
        <w:t>万元，占本年支出的100%。比上年</w:t>
      </w:r>
      <w:r>
        <w:rPr>
          <w:rFonts w:hint="eastAsia" w:eastAsia="仿宋" w:cs="Times New Roman"/>
          <w:color w:val="222222"/>
          <w:kern w:val="0"/>
          <w:sz w:val="32"/>
          <w:szCs w:val="32"/>
          <w:lang w:eastAsia="zh-CN"/>
        </w:rPr>
        <w:t>减少</w:t>
      </w:r>
      <w:r>
        <w:rPr>
          <w:rFonts w:hint="eastAsia" w:eastAsia="仿宋" w:cs="Times New Roman"/>
          <w:color w:val="222222"/>
          <w:kern w:val="0"/>
          <w:sz w:val="32"/>
          <w:szCs w:val="32"/>
          <w:lang w:val="en-US" w:eastAsia="zh-CN"/>
        </w:rPr>
        <w:t>677.57万元，</w:t>
      </w:r>
      <w:r>
        <w:rPr>
          <w:rFonts w:hint="eastAsia" w:eastAsia="仿宋" w:cs="Times New Roman"/>
          <w:color w:val="222222"/>
          <w:kern w:val="0"/>
          <w:sz w:val="32"/>
          <w:szCs w:val="32"/>
          <w:lang w:eastAsia="zh-CN"/>
        </w:rPr>
        <w:t>降低</w:t>
      </w:r>
      <w:r>
        <w:rPr>
          <w:rFonts w:hint="eastAsia" w:eastAsia="仿宋" w:cs="Times New Roman"/>
          <w:color w:val="222222"/>
          <w:kern w:val="0"/>
          <w:sz w:val="32"/>
          <w:szCs w:val="32"/>
          <w:lang w:val="en-US" w:eastAsia="zh-CN"/>
        </w:rPr>
        <w:t>38.45%。</w:t>
      </w:r>
      <w:r>
        <w:rPr>
          <w:rFonts w:eastAsia="仿宋" w:cs="Times New Roman"/>
          <w:color w:val="222222"/>
          <w:kern w:val="0"/>
          <w:sz w:val="32"/>
          <w:szCs w:val="32"/>
        </w:rPr>
        <w:t>部门整体支出</w:t>
      </w:r>
      <w:r>
        <w:rPr>
          <w:rFonts w:hint="eastAsia" w:eastAsia="仿宋" w:cs="Times New Roman"/>
          <w:color w:val="222222"/>
          <w:kern w:val="0"/>
          <w:sz w:val="32"/>
          <w:szCs w:val="32"/>
          <w:lang w:eastAsia="zh-CN"/>
        </w:rPr>
        <w:t>减少的</w:t>
      </w:r>
      <w:r>
        <w:rPr>
          <w:rFonts w:eastAsia="仿宋" w:cs="Times New Roman"/>
          <w:color w:val="222222"/>
          <w:kern w:val="0"/>
          <w:sz w:val="32"/>
          <w:szCs w:val="32"/>
        </w:rPr>
        <w:t>原因主要是</w:t>
      </w:r>
      <w:r>
        <w:rPr>
          <w:rFonts w:hint="eastAsia" w:eastAsia="仿宋" w:cs="Times New Roman"/>
          <w:color w:val="222222"/>
          <w:kern w:val="0"/>
          <w:sz w:val="32"/>
          <w:szCs w:val="32"/>
          <w:lang w:eastAsia="zh-CN"/>
        </w:rPr>
        <w:t>2025年度财政拨款经费减少。</w:t>
      </w:r>
      <w:r>
        <w:rPr>
          <w:rFonts w:eastAsia="仿宋" w:cs="Times New Roman"/>
          <w:color w:val="222222"/>
          <w:kern w:val="0"/>
          <w:sz w:val="32"/>
          <w:szCs w:val="32"/>
        </w:rPr>
        <w:t>其中一般公共服务支出</w:t>
      </w:r>
      <w:r>
        <w:rPr>
          <w:rFonts w:hint="eastAsia" w:eastAsia="仿宋" w:cs="Times New Roman"/>
          <w:color w:val="000000"/>
          <w:sz w:val="32"/>
          <w:szCs w:val="32"/>
          <w:lang w:val="en-US" w:eastAsia="zh-CN"/>
        </w:rPr>
        <w:t>965.07</w:t>
      </w:r>
      <w:r>
        <w:rPr>
          <w:rFonts w:eastAsia="仿宋" w:cs="Times New Roman"/>
          <w:color w:val="222222"/>
          <w:kern w:val="0"/>
          <w:sz w:val="32"/>
          <w:szCs w:val="32"/>
        </w:rPr>
        <w:t>万元，占比</w:t>
      </w:r>
      <w:r>
        <w:rPr>
          <w:rFonts w:hint="eastAsia" w:eastAsia="仿宋" w:cs="Times New Roman"/>
          <w:color w:val="222222"/>
          <w:kern w:val="0"/>
          <w:sz w:val="32"/>
          <w:szCs w:val="32"/>
          <w:lang w:val="en-US" w:eastAsia="zh-CN"/>
        </w:rPr>
        <w:t>88.99</w:t>
      </w:r>
      <w:r>
        <w:rPr>
          <w:rFonts w:eastAsia="仿宋" w:cs="Times New Roman"/>
          <w:color w:val="222222"/>
          <w:kern w:val="0"/>
          <w:sz w:val="32"/>
          <w:szCs w:val="32"/>
        </w:rPr>
        <w:t>%；社会保障和就业支出</w:t>
      </w:r>
      <w:r>
        <w:rPr>
          <w:rFonts w:hint="eastAsia" w:eastAsia="仿宋" w:cs="Times New Roman"/>
          <w:color w:val="222222"/>
          <w:kern w:val="0"/>
          <w:sz w:val="32"/>
          <w:szCs w:val="32"/>
          <w:lang w:val="en-US" w:eastAsia="zh-CN"/>
        </w:rPr>
        <w:t>75.36</w:t>
      </w:r>
      <w:r>
        <w:rPr>
          <w:rFonts w:eastAsia="仿宋" w:cs="Times New Roman"/>
          <w:color w:val="222222"/>
          <w:kern w:val="0"/>
          <w:sz w:val="32"/>
          <w:szCs w:val="32"/>
        </w:rPr>
        <w:t>万元，占比6.9</w:t>
      </w:r>
      <w:r>
        <w:rPr>
          <w:rFonts w:hint="eastAsia" w:eastAsia="仿宋" w:cs="Times New Roman"/>
          <w:color w:val="222222"/>
          <w:kern w:val="0"/>
          <w:sz w:val="32"/>
          <w:szCs w:val="32"/>
          <w:lang w:val="en-US" w:eastAsia="zh-CN"/>
        </w:rPr>
        <w:t>5</w:t>
      </w:r>
      <w:r>
        <w:rPr>
          <w:rFonts w:eastAsia="仿宋" w:cs="Times New Roman"/>
          <w:color w:val="222222"/>
          <w:kern w:val="0"/>
          <w:sz w:val="32"/>
          <w:szCs w:val="32"/>
        </w:rPr>
        <w:t>%</w:t>
      </w:r>
      <w:r>
        <w:rPr>
          <w:rFonts w:hint="eastAsia" w:eastAsia="仿宋" w:cs="Times New Roman"/>
          <w:color w:val="222222"/>
          <w:kern w:val="0"/>
          <w:sz w:val="32"/>
          <w:szCs w:val="32"/>
          <w:lang w:eastAsia="zh-CN"/>
        </w:rPr>
        <w:t>；卫生健康支出</w:t>
      </w:r>
      <w:r>
        <w:rPr>
          <w:rFonts w:hint="eastAsia" w:eastAsia="仿宋" w:cs="Times New Roman"/>
          <w:color w:val="222222"/>
          <w:kern w:val="0"/>
          <w:sz w:val="32"/>
          <w:szCs w:val="32"/>
          <w:lang w:val="en-US" w:eastAsia="zh-CN"/>
        </w:rPr>
        <w:t>42.67万元</w:t>
      </w:r>
      <w:r>
        <w:rPr>
          <w:rFonts w:eastAsia="仿宋" w:cs="Times New Roman"/>
          <w:color w:val="222222"/>
          <w:kern w:val="0"/>
          <w:sz w:val="32"/>
          <w:szCs w:val="32"/>
        </w:rPr>
        <w:t>，占比</w:t>
      </w:r>
      <w:r>
        <w:rPr>
          <w:rFonts w:hint="eastAsia" w:eastAsia="仿宋" w:cs="Times New Roman"/>
          <w:color w:val="222222"/>
          <w:kern w:val="0"/>
          <w:sz w:val="32"/>
          <w:szCs w:val="32"/>
          <w:lang w:val="en-US" w:eastAsia="zh-CN"/>
        </w:rPr>
        <w:t>3.94</w:t>
      </w:r>
      <w:r>
        <w:rPr>
          <w:rFonts w:eastAsia="仿宋" w:cs="Times New Roman"/>
          <w:color w:val="222222"/>
          <w:kern w:val="0"/>
          <w:sz w:val="32"/>
          <w:szCs w:val="32"/>
        </w:rPr>
        <w:t>%</w:t>
      </w:r>
      <w:r>
        <w:rPr>
          <w:rFonts w:hint="eastAsia" w:eastAsia="仿宋" w:cs="Times New Roman"/>
          <w:color w:val="222222"/>
          <w:kern w:val="0"/>
          <w:sz w:val="32"/>
          <w:szCs w:val="32"/>
          <w:lang w:eastAsia="zh-CN"/>
        </w:rPr>
        <w:t>；资源勘探工业信息等支出</w:t>
      </w:r>
      <w:r>
        <w:rPr>
          <w:rFonts w:hint="eastAsia" w:eastAsia="仿宋" w:cs="Times New Roman"/>
          <w:color w:val="222222"/>
          <w:kern w:val="0"/>
          <w:sz w:val="32"/>
          <w:szCs w:val="32"/>
          <w:lang w:val="en-US" w:eastAsia="zh-CN"/>
        </w:rPr>
        <w:t>1.34万元，</w:t>
      </w:r>
      <w:r>
        <w:rPr>
          <w:rFonts w:eastAsia="仿宋" w:cs="Times New Roman"/>
          <w:color w:val="222222"/>
          <w:kern w:val="0"/>
          <w:sz w:val="32"/>
          <w:szCs w:val="32"/>
        </w:rPr>
        <w:t>占比</w:t>
      </w:r>
      <w:r>
        <w:rPr>
          <w:rFonts w:hint="eastAsia" w:eastAsia="仿宋" w:cs="Times New Roman"/>
          <w:color w:val="222222"/>
          <w:kern w:val="0"/>
          <w:sz w:val="32"/>
          <w:szCs w:val="32"/>
          <w:lang w:val="en-US" w:eastAsia="zh-CN"/>
        </w:rPr>
        <w:t>0.12</w:t>
      </w:r>
      <w:r>
        <w:rPr>
          <w:rFonts w:eastAsia="仿宋" w:cs="Times New Roman"/>
          <w:color w:val="222222"/>
          <w:kern w:val="0"/>
          <w:sz w:val="32"/>
          <w:szCs w:val="32"/>
        </w:rPr>
        <w:t>%。</w:t>
      </w:r>
    </w:p>
    <w:p w14:paraId="06C2566D">
      <w:pPr>
        <w:widowControl/>
        <w:spacing w:line="576" w:lineRule="exact"/>
        <w:ind w:firstLine="640"/>
        <w:rPr>
          <w:rFonts w:eastAsia="楷体" w:cs="Times New Roman"/>
          <w:color w:val="222222"/>
          <w:kern w:val="0"/>
          <w:sz w:val="32"/>
          <w:szCs w:val="32"/>
        </w:rPr>
      </w:pPr>
      <w:r>
        <w:rPr>
          <w:rFonts w:eastAsia="楷体" w:cs="Times New Roman"/>
          <w:color w:val="222222"/>
          <w:kern w:val="0"/>
          <w:sz w:val="32"/>
          <w:szCs w:val="32"/>
        </w:rPr>
        <w:t>（二）部门预算收支决算情况</w:t>
      </w:r>
    </w:p>
    <w:p w14:paraId="08F576F8">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202</w:t>
      </w:r>
      <w:r>
        <w:rPr>
          <w:rFonts w:hint="eastAsia" w:eastAsia="仿宋" w:cs="Times New Roman"/>
          <w:color w:val="222222"/>
          <w:kern w:val="0"/>
          <w:sz w:val="32"/>
          <w:szCs w:val="32"/>
          <w:lang w:val="en-US" w:eastAsia="zh-CN"/>
        </w:rPr>
        <w:t>5</w:t>
      </w:r>
      <w:r>
        <w:rPr>
          <w:rFonts w:eastAsia="仿宋" w:cs="Times New Roman"/>
          <w:color w:val="222222"/>
          <w:kern w:val="0"/>
          <w:sz w:val="32"/>
          <w:szCs w:val="32"/>
        </w:rPr>
        <w:t>年区人大部门预算收入</w:t>
      </w:r>
      <w:r>
        <w:rPr>
          <w:rFonts w:hint="eastAsia" w:eastAsia="仿宋" w:cs="Times New Roman"/>
          <w:color w:val="222222"/>
          <w:kern w:val="0"/>
          <w:sz w:val="32"/>
          <w:szCs w:val="32"/>
          <w:lang w:val="en-US" w:eastAsia="zh-CN"/>
        </w:rPr>
        <w:t>1553.34</w:t>
      </w:r>
      <w:r>
        <w:rPr>
          <w:rFonts w:eastAsia="仿宋" w:cs="Times New Roman"/>
          <w:color w:val="222222"/>
          <w:kern w:val="0"/>
          <w:sz w:val="32"/>
          <w:szCs w:val="32"/>
        </w:rPr>
        <w:t>万元，其中一般公共预算拨款收入</w:t>
      </w:r>
      <w:r>
        <w:rPr>
          <w:rFonts w:hint="eastAsia" w:eastAsia="仿宋" w:cs="Times New Roman"/>
          <w:color w:val="222222"/>
          <w:kern w:val="0"/>
          <w:sz w:val="32"/>
          <w:szCs w:val="32"/>
          <w:lang w:val="en-US" w:eastAsia="zh-CN"/>
        </w:rPr>
        <w:t>1553.34</w:t>
      </w:r>
      <w:r>
        <w:rPr>
          <w:rFonts w:eastAsia="仿宋" w:cs="Times New Roman"/>
          <w:color w:val="222222"/>
          <w:kern w:val="0"/>
          <w:sz w:val="32"/>
          <w:szCs w:val="32"/>
        </w:rPr>
        <w:t>万元。202</w:t>
      </w:r>
      <w:r>
        <w:rPr>
          <w:rFonts w:hint="eastAsia" w:eastAsia="仿宋" w:cs="Times New Roman"/>
          <w:color w:val="222222"/>
          <w:kern w:val="0"/>
          <w:sz w:val="32"/>
          <w:szCs w:val="32"/>
          <w:lang w:val="en-US" w:eastAsia="zh-CN"/>
        </w:rPr>
        <w:t>5</w:t>
      </w:r>
      <w:r>
        <w:rPr>
          <w:rFonts w:eastAsia="仿宋" w:cs="Times New Roman"/>
          <w:color w:val="222222"/>
          <w:kern w:val="0"/>
          <w:sz w:val="32"/>
          <w:szCs w:val="32"/>
        </w:rPr>
        <w:t>年武陵区人大部门预算支出</w:t>
      </w:r>
      <w:r>
        <w:rPr>
          <w:rFonts w:hint="eastAsia" w:eastAsia="仿宋" w:cs="Times New Roman"/>
          <w:color w:val="222222"/>
          <w:kern w:val="0"/>
          <w:sz w:val="32"/>
          <w:szCs w:val="32"/>
          <w:lang w:val="en-US" w:eastAsia="zh-CN"/>
        </w:rPr>
        <w:t>1553.34</w:t>
      </w:r>
      <w:r>
        <w:rPr>
          <w:rFonts w:eastAsia="仿宋" w:cs="Times New Roman"/>
          <w:color w:val="222222"/>
          <w:kern w:val="0"/>
          <w:sz w:val="32"/>
          <w:szCs w:val="32"/>
        </w:rPr>
        <w:t>万元，其中：基本支出</w:t>
      </w:r>
      <w:r>
        <w:rPr>
          <w:rFonts w:hint="eastAsia" w:eastAsia="仿宋" w:cs="Times New Roman"/>
          <w:color w:val="222222"/>
          <w:kern w:val="0"/>
          <w:sz w:val="32"/>
          <w:szCs w:val="32"/>
        </w:rPr>
        <w:t>1,223.19</w:t>
      </w:r>
      <w:r>
        <w:rPr>
          <w:rFonts w:eastAsia="仿宋" w:cs="Times New Roman"/>
          <w:color w:val="222222"/>
          <w:kern w:val="0"/>
          <w:sz w:val="32"/>
          <w:szCs w:val="32"/>
        </w:rPr>
        <w:t>万元，占</w:t>
      </w:r>
      <w:r>
        <w:rPr>
          <w:rFonts w:hint="eastAsia" w:eastAsia="仿宋" w:cs="Times New Roman"/>
          <w:color w:val="222222"/>
          <w:kern w:val="0"/>
          <w:sz w:val="32"/>
          <w:szCs w:val="32"/>
          <w:lang w:val="en-US" w:eastAsia="zh-CN"/>
        </w:rPr>
        <w:t>78.75</w:t>
      </w:r>
      <w:r>
        <w:rPr>
          <w:rFonts w:eastAsia="仿宋" w:cs="Times New Roman"/>
          <w:color w:val="222222"/>
          <w:kern w:val="0"/>
          <w:sz w:val="32"/>
          <w:szCs w:val="32"/>
        </w:rPr>
        <w:t>%；项目支出</w:t>
      </w:r>
      <w:r>
        <w:rPr>
          <w:rFonts w:hint="eastAsia" w:eastAsia="仿宋" w:cs="Times New Roman"/>
          <w:color w:val="222222"/>
          <w:kern w:val="0"/>
          <w:sz w:val="32"/>
          <w:szCs w:val="32"/>
        </w:rPr>
        <w:t>330.15</w:t>
      </w:r>
      <w:r>
        <w:rPr>
          <w:rFonts w:eastAsia="仿宋" w:cs="Times New Roman"/>
          <w:color w:val="222222"/>
          <w:kern w:val="0"/>
          <w:sz w:val="32"/>
          <w:szCs w:val="32"/>
        </w:rPr>
        <w:t>万元，占</w:t>
      </w:r>
      <w:r>
        <w:rPr>
          <w:rFonts w:hint="eastAsia" w:eastAsia="仿宋" w:cs="Times New Roman"/>
          <w:color w:val="222222"/>
          <w:kern w:val="0"/>
          <w:sz w:val="32"/>
          <w:szCs w:val="32"/>
          <w:lang w:val="en-US" w:eastAsia="zh-CN"/>
        </w:rPr>
        <w:t>21.25</w:t>
      </w:r>
      <w:r>
        <w:rPr>
          <w:rFonts w:eastAsia="仿宋" w:cs="Times New Roman"/>
          <w:color w:val="222222"/>
          <w:kern w:val="0"/>
          <w:sz w:val="32"/>
          <w:szCs w:val="32"/>
        </w:rPr>
        <w:t>%。</w:t>
      </w:r>
    </w:p>
    <w:p w14:paraId="41FEEEAF">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202</w:t>
      </w:r>
      <w:r>
        <w:rPr>
          <w:rFonts w:hint="eastAsia" w:eastAsia="仿宋" w:cs="Times New Roman"/>
          <w:color w:val="222222"/>
          <w:kern w:val="0"/>
          <w:sz w:val="32"/>
          <w:szCs w:val="32"/>
          <w:lang w:val="en-US" w:eastAsia="zh-CN"/>
        </w:rPr>
        <w:t>5</w:t>
      </w:r>
      <w:r>
        <w:rPr>
          <w:rFonts w:eastAsia="仿宋" w:cs="Times New Roman"/>
          <w:color w:val="222222"/>
          <w:kern w:val="0"/>
          <w:sz w:val="32"/>
          <w:szCs w:val="32"/>
        </w:rPr>
        <w:t>年区人大本年收入决算数</w:t>
      </w:r>
      <w:r>
        <w:rPr>
          <w:rFonts w:hint="eastAsia" w:eastAsia="仿宋" w:cs="Times New Roman"/>
          <w:color w:val="222222"/>
          <w:kern w:val="0"/>
          <w:sz w:val="32"/>
          <w:szCs w:val="32"/>
          <w:lang w:val="en-US" w:eastAsia="zh-CN"/>
        </w:rPr>
        <w:t>1084.44</w:t>
      </w:r>
      <w:r>
        <w:rPr>
          <w:rFonts w:eastAsia="仿宋" w:cs="Times New Roman"/>
          <w:color w:val="222222"/>
          <w:kern w:val="0"/>
          <w:sz w:val="32"/>
          <w:szCs w:val="32"/>
        </w:rPr>
        <w:t>万元，其中财政拨款收入</w:t>
      </w:r>
      <w:r>
        <w:rPr>
          <w:rFonts w:hint="eastAsia" w:eastAsia="仿宋" w:cs="Times New Roman"/>
          <w:color w:val="222222"/>
          <w:kern w:val="0"/>
          <w:sz w:val="32"/>
          <w:szCs w:val="32"/>
          <w:lang w:val="en-US" w:eastAsia="zh-CN"/>
        </w:rPr>
        <w:t>1084.44</w:t>
      </w:r>
      <w:r>
        <w:rPr>
          <w:rFonts w:eastAsia="仿宋" w:cs="Times New Roman"/>
          <w:color w:val="222222"/>
          <w:kern w:val="0"/>
          <w:sz w:val="32"/>
          <w:szCs w:val="32"/>
        </w:rPr>
        <w:t>万元，占本年收入的100%。</w:t>
      </w:r>
    </w:p>
    <w:p w14:paraId="6142A9B6">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202</w:t>
      </w:r>
      <w:r>
        <w:rPr>
          <w:rFonts w:hint="eastAsia" w:eastAsia="仿宋" w:cs="Times New Roman"/>
          <w:color w:val="222222"/>
          <w:kern w:val="0"/>
          <w:sz w:val="32"/>
          <w:szCs w:val="32"/>
          <w:lang w:val="en-US" w:eastAsia="zh-CN"/>
        </w:rPr>
        <w:t>5</w:t>
      </w:r>
      <w:r>
        <w:rPr>
          <w:rFonts w:eastAsia="仿宋" w:cs="Times New Roman"/>
          <w:color w:val="222222"/>
          <w:kern w:val="0"/>
          <w:sz w:val="32"/>
          <w:szCs w:val="32"/>
        </w:rPr>
        <w:t>年本年支出</w:t>
      </w:r>
      <w:r>
        <w:rPr>
          <w:rFonts w:hint="eastAsia" w:eastAsia="仿宋" w:cs="Times New Roman"/>
          <w:color w:val="222222"/>
          <w:kern w:val="0"/>
          <w:sz w:val="32"/>
          <w:szCs w:val="32"/>
          <w:lang w:val="en-US" w:eastAsia="zh-CN"/>
        </w:rPr>
        <w:t>1084.44</w:t>
      </w:r>
      <w:r>
        <w:rPr>
          <w:rFonts w:eastAsia="仿宋" w:cs="Times New Roman"/>
          <w:color w:val="222222"/>
          <w:kern w:val="0"/>
          <w:sz w:val="32"/>
          <w:szCs w:val="32"/>
        </w:rPr>
        <w:t>万元，其中基本支出</w:t>
      </w:r>
      <w:r>
        <w:rPr>
          <w:rFonts w:hint="eastAsia" w:eastAsia="仿宋" w:cs="Times New Roman"/>
          <w:color w:val="222222"/>
          <w:kern w:val="0"/>
          <w:sz w:val="32"/>
          <w:szCs w:val="32"/>
          <w:lang w:val="en-US" w:eastAsia="zh-CN"/>
        </w:rPr>
        <w:t>978.67</w:t>
      </w:r>
      <w:r>
        <w:rPr>
          <w:rFonts w:eastAsia="仿宋" w:cs="Times New Roman"/>
          <w:color w:val="222222"/>
          <w:kern w:val="0"/>
          <w:sz w:val="32"/>
          <w:szCs w:val="32"/>
        </w:rPr>
        <w:t>万元，占</w:t>
      </w:r>
      <w:r>
        <w:rPr>
          <w:rFonts w:hint="eastAsia" w:eastAsia="仿宋" w:cs="Times New Roman"/>
          <w:color w:val="222222"/>
          <w:kern w:val="0"/>
          <w:sz w:val="32"/>
          <w:szCs w:val="32"/>
          <w:lang w:val="en-US" w:eastAsia="zh-CN"/>
        </w:rPr>
        <w:t>90.25</w:t>
      </w:r>
      <w:r>
        <w:rPr>
          <w:rFonts w:eastAsia="仿宋" w:cs="Times New Roman"/>
          <w:color w:val="222222"/>
          <w:kern w:val="0"/>
          <w:sz w:val="32"/>
          <w:szCs w:val="32"/>
        </w:rPr>
        <w:t>%；项目支出</w:t>
      </w:r>
      <w:r>
        <w:rPr>
          <w:rFonts w:hint="eastAsia" w:eastAsia="仿宋" w:cs="Times New Roman"/>
          <w:color w:val="222222"/>
          <w:kern w:val="0"/>
          <w:sz w:val="32"/>
          <w:szCs w:val="32"/>
          <w:lang w:val="en-US" w:eastAsia="zh-CN"/>
        </w:rPr>
        <w:t>105.77</w:t>
      </w:r>
      <w:r>
        <w:rPr>
          <w:rFonts w:eastAsia="仿宋" w:cs="Times New Roman"/>
          <w:color w:val="222222"/>
          <w:kern w:val="0"/>
          <w:sz w:val="32"/>
          <w:szCs w:val="32"/>
        </w:rPr>
        <w:t>万元，占</w:t>
      </w:r>
      <w:r>
        <w:rPr>
          <w:rFonts w:hint="eastAsia" w:eastAsia="仿宋" w:cs="Times New Roman"/>
          <w:color w:val="222222"/>
          <w:kern w:val="0"/>
          <w:sz w:val="32"/>
          <w:szCs w:val="32"/>
          <w:lang w:val="en-US" w:eastAsia="zh-CN"/>
        </w:rPr>
        <w:t>9.75</w:t>
      </w:r>
      <w:r>
        <w:rPr>
          <w:rFonts w:eastAsia="仿宋" w:cs="Times New Roman"/>
          <w:color w:val="222222"/>
          <w:kern w:val="0"/>
          <w:sz w:val="32"/>
          <w:szCs w:val="32"/>
        </w:rPr>
        <w:t>%。</w:t>
      </w:r>
    </w:p>
    <w:p w14:paraId="39E89830">
      <w:pPr>
        <w:widowControl/>
        <w:spacing w:line="576" w:lineRule="exact"/>
        <w:ind w:firstLine="640"/>
        <w:rPr>
          <w:rFonts w:eastAsia="楷体" w:cs="Times New Roman"/>
          <w:color w:val="222222"/>
          <w:kern w:val="0"/>
          <w:sz w:val="32"/>
          <w:szCs w:val="32"/>
        </w:rPr>
      </w:pPr>
      <w:r>
        <w:rPr>
          <w:rFonts w:eastAsia="楷体" w:cs="Times New Roman"/>
          <w:color w:val="222222"/>
          <w:kern w:val="0"/>
          <w:sz w:val="32"/>
          <w:szCs w:val="32"/>
        </w:rPr>
        <w:t>（三） “三公经费”支出使用和管理情况</w:t>
      </w:r>
    </w:p>
    <w:p w14:paraId="39D44874">
      <w:pPr>
        <w:widowControl/>
        <w:spacing w:line="576" w:lineRule="exact"/>
        <w:ind w:firstLine="640"/>
        <w:rPr>
          <w:rFonts w:hint="eastAsia" w:eastAsia="仿宋" w:cs="Times New Roman"/>
          <w:color w:val="222222"/>
          <w:kern w:val="0"/>
          <w:sz w:val="32"/>
          <w:szCs w:val="32"/>
        </w:rPr>
      </w:pPr>
      <w:r>
        <w:rPr>
          <w:rFonts w:eastAsia="仿宋" w:cs="Times New Roman"/>
          <w:color w:val="222222"/>
          <w:kern w:val="0"/>
          <w:sz w:val="32"/>
          <w:szCs w:val="32"/>
        </w:rPr>
        <w:t>202</w:t>
      </w:r>
      <w:r>
        <w:rPr>
          <w:rFonts w:hint="eastAsia" w:eastAsia="仿宋" w:cs="Times New Roman"/>
          <w:color w:val="222222"/>
          <w:kern w:val="0"/>
          <w:sz w:val="32"/>
          <w:szCs w:val="32"/>
          <w:lang w:val="en-US" w:eastAsia="zh-CN"/>
        </w:rPr>
        <w:t>5</w:t>
      </w:r>
      <w:r>
        <w:rPr>
          <w:rFonts w:eastAsia="仿宋" w:cs="Times New Roman"/>
          <w:color w:val="222222"/>
          <w:kern w:val="0"/>
          <w:sz w:val="32"/>
          <w:szCs w:val="32"/>
        </w:rPr>
        <w:t>年区人大</w:t>
      </w:r>
      <w:r>
        <w:rPr>
          <w:rFonts w:hint="eastAsia" w:eastAsia="楷体" w:cs="Times New Roman"/>
          <w:color w:val="222222"/>
          <w:kern w:val="0"/>
          <w:sz w:val="32"/>
          <w:szCs w:val="32"/>
          <w:lang w:eastAsia="zh-CN"/>
        </w:rPr>
        <w:t>“</w:t>
      </w:r>
      <w:r>
        <w:rPr>
          <w:rFonts w:eastAsia="仿宋" w:cs="Times New Roman"/>
          <w:color w:val="auto"/>
          <w:kern w:val="0"/>
          <w:sz w:val="32"/>
          <w:szCs w:val="32"/>
        </w:rPr>
        <w:t>三公经费</w:t>
      </w:r>
      <w:r>
        <w:rPr>
          <w:rFonts w:hint="eastAsia" w:eastAsia="仿宋" w:cs="Times New Roman"/>
          <w:color w:val="auto"/>
          <w:kern w:val="0"/>
          <w:sz w:val="32"/>
          <w:szCs w:val="32"/>
          <w:lang w:eastAsia="zh-CN"/>
        </w:rPr>
        <w:t>”</w:t>
      </w:r>
      <w:r>
        <w:rPr>
          <w:rFonts w:eastAsia="仿宋" w:cs="Times New Roman"/>
          <w:color w:val="222222"/>
          <w:kern w:val="0"/>
          <w:sz w:val="32"/>
          <w:szCs w:val="32"/>
        </w:rPr>
        <w:t>支出</w:t>
      </w:r>
      <w:r>
        <w:rPr>
          <w:rFonts w:hint="eastAsia" w:eastAsia="仿宋" w:cs="Times New Roman"/>
          <w:color w:val="222222"/>
          <w:kern w:val="0"/>
          <w:sz w:val="32"/>
          <w:szCs w:val="32"/>
          <w:lang w:val="en-US" w:eastAsia="zh-CN"/>
        </w:rPr>
        <w:t>0</w:t>
      </w:r>
      <w:r>
        <w:rPr>
          <w:rFonts w:eastAsia="仿宋" w:cs="Times New Roman"/>
          <w:color w:val="222222"/>
          <w:kern w:val="0"/>
          <w:sz w:val="32"/>
          <w:szCs w:val="32"/>
        </w:rPr>
        <w:t>万元，较上年</w:t>
      </w:r>
      <w:r>
        <w:rPr>
          <w:rFonts w:hint="eastAsia" w:eastAsia="仿宋" w:cs="Times New Roman"/>
          <w:color w:val="222222"/>
          <w:kern w:val="0"/>
          <w:sz w:val="32"/>
          <w:szCs w:val="32"/>
          <w:lang w:eastAsia="zh-CN"/>
        </w:rPr>
        <w:t>减少</w:t>
      </w:r>
      <w:r>
        <w:rPr>
          <w:rFonts w:hint="eastAsia" w:eastAsia="仿宋" w:cs="Times New Roman"/>
          <w:color w:val="222222"/>
          <w:kern w:val="0"/>
          <w:sz w:val="32"/>
          <w:szCs w:val="32"/>
          <w:lang w:val="en-US" w:eastAsia="zh-CN"/>
        </w:rPr>
        <w:t>6.15</w:t>
      </w:r>
      <w:r>
        <w:rPr>
          <w:rFonts w:eastAsia="仿宋" w:cs="Times New Roman"/>
          <w:color w:val="222222"/>
          <w:kern w:val="0"/>
          <w:sz w:val="32"/>
          <w:szCs w:val="32"/>
        </w:rPr>
        <w:t>万元。其中：公务用车购置及运行维护费支出0万元，公务接待</w:t>
      </w:r>
    </w:p>
    <w:p w14:paraId="12F22AE9">
      <w:pPr>
        <w:widowControl/>
        <w:spacing w:line="576" w:lineRule="exact"/>
        <w:rPr>
          <w:rFonts w:hint="eastAsia" w:eastAsia="仿宋" w:cs="Times New Roman"/>
          <w:color w:val="222222"/>
          <w:kern w:val="0"/>
          <w:sz w:val="32"/>
          <w:szCs w:val="32"/>
        </w:rPr>
      </w:pPr>
      <w:r>
        <w:rPr>
          <w:rFonts w:eastAsia="仿宋" w:cs="Times New Roman"/>
          <w:color w:val="222222"/>
          <w:kern w:val="0"/>
          <w:sz w:val="32"/>
          <w:szCs w:val="32"/>
        </w:rPr>
        <w:t>费支出</w:t>
      </w:r>
      <w:r>
        <w:rPr>
          <w:rFonts w:hint="eastAsia" w:eastAsia="仿宋" w:cs="Times New Roman"/>
          <w:color w:val="222222"/>
          <w:kern w:val="0"/>
          <w:sz w:val="32"/>
          <w:szCs w:val="32"/>
          <w:lang w:val="en-US" w:eastAsia="zh-CN"/>
        </w:rPr>
        <w:t>0</w:t>
      </w:r>
      <w:r>
        <w:rPr>
          <w:rFonts w:eastAsia="仿宋" w:cs="Times New Roman"/>
          <w:color w:val="222222"/>
          <w:kern w:val="0"/>
          <w:sz w:val="32"/>
          <w:szCs w:val="32"/>
        </w:rPr>
        <w:t>万元，因公出国出境支出0万元。三公经费支出减少</w:t>
      </w:r>
    </w:p>
    <w:p w14:paraId="64C4124C">
      <w:pPr>
        <w:widowControl/>
        <w:spacing w:line="576" w:lineRule="exact"/>
        <w:rPr>
          <w:rFonts w:eastAsia="仿宋" w:cs="Times New Roman"/>
          <w:kern w:val="0"/>
          <w:sz w:val="32"/>
          <w:szCs w:val="32"/>
        </w:rPr>
      </w:pPr>
      <w:r>
        <w:rPr>
          <w:rFonts w:eastAsia="仿宋" w:cs="Times New Roman"/>
          <w:color w:val="222222"/>
          <w:kern w:val="0"/>
          <w:sz w:val="32"/>
          <w:szCs w:val="32"/>
        </w:rPr>
        <w:t>的原因主要是接待批次、人次</w:t>
      </w:r>
      <w:r>
        <w:rPr>
          <w:rFonts w:hint="eastAsia" w:eastAsia="仿宋" w:cs="Times New Roman"/>
          <w:color w:val="222222"/>
          <w:kern w:val="0"/>
          <w:sz w:val="32"/>
          <w:szCs w:val="32"/>
          <w:lang w:eastAsia="zh-CN"/>
        </w:rPr>
        <w:t>减少</w:t>
      </w:r>
      <w:r>
        <w:rPr>
          <w:rFonts w:eastAsia="仿宋" w:cs="Times New Roman"/>
          <w:color w:val="222222"/>
          <w:kern w:val="0"/>
          <w:sz w:val="32"/>
          <w:szCs w:val="32"/>
        </w:rPr>
        <w:t>。</w:t>
      </w:r>
    </w:p>
    <w:p w14:paraId="068DC16C">
      <w:pPr>
        <w:widowControl/>
        <w:spacing w:line="576" w:lineRule="exact"/>
        <w:ind w:firstLine="640"/>
        <w:rPr>
          <w:rFonts w:eastAsia="黑体" w:cs="Times New Roman"/>
          <w:color w:val="222222"/>
          <w:kern w:val="0"/>
          <w:sz w:val="32"/>
          <w:szCs w:val="32"/>
        </w:rPr>
      </w:pPr>
      <w:r>
        <w:rPr>
          <w:rFonts w:eastAsia="黑体" w:cs="Times New Roman"/>
          <w:color w:val="222222"/>
          <w:kern w:val="0"/>
          <w:sz w:val="32"/>
          <w:szCs w:val="32"/>
        </w:rPr>
        <w:t>三、部门绩效目标</w:t>
      </w:r>
    </w:p>
    <w:p w14:paraId="1C127457">
      <w:pPr>
        <w:widowControl/>
        <w:spacing w:line="576" w:lineRule="exact"/>
        <w:ind w:firstLine="640"/>
        <w:rPr>
          <w:rFonts w:eastAsia="楷体" w:cs="Times New Roman"/>
          <w:color w:val="222222"/>
          <w:kern w:val="0"/>
          <w:sz w:val="32"/>
          <w:szCs w:val="32"/>
        </w:rPr>
      </w:pPr>
      <w:r>
        <w:rPr>
          <w:rFonts w:eastAsia="楷体" w:cs="Times New Roman"/>
          <w:color w:val="222222"/>
          <w:kern w:val="0"/>
          <w:sz w:val="32"/>
          <w:szCs w:val="32"/>
        </w:rPr>
        <w:t>（一）部门绩效总目标</w:t>
      </w:r>
    </w:p>
    <w:p w14:paraId="1E8F4726">
      <w:pPr>
        <w:widowControl/>
        <w:spacing w:line="576" w:lineRule="exact"/>
        <w:ind w:firstLine="640"/>
        <w:rPr>
          <w:rFonts w:eastAsia="仿宋" w:cs="Times New Roman"/>
          <w:color w:val="222222"/>
          <w:kern w:val="0"/>
          <w:sz w:val="32"/>
          <w:szCs w:val="32"/>
        </w:rPr>
      </w:pPr>
      <w:r>
        <w:rPr>
          <w:rFonts w:eastAsia="仿宋" w:cs="Times New Roman"/>
          <w:color w:val="222222"/>
          <w:kern w:val="0"/>
          <w:sz w:val="32"/>
          <w:szCs w:val="32"/>
        </w:rPr>
        <w:t>贯彻和执行本行政区域内宪法、法律、行政法规和上级人民代表大会及其常务委员会决议，坚定不移服务发展大局。保证机关工作正常运行，经常召开常委会会议和主任会议，增强监督实效。审议事项，按时办结，多措并举夯实基层基础。</w:t>
      </w:r>
    </w:p>
    <w:p w14:paraId="037FEB92">
      <w:pPr>
        <w:widowControl/>
        <w:spacing w:line="576" w:lineRule="exact"/>
        <w:ind w:firstLine="640"/>
        <w:rPr>
          <w:rFonts w:eastAsia="楷体" w:cs="Times New Roman"/>
          <w:color w:val="222222"/>
          <w:kern w:val="0"/>
          <w:sz w:val="32"/>
          <w:szCs w:val="32"/>
        </w:rPr>
      </w:pPr>
      <w:r>
        <w:rPr>
          <w:rFonts w:eastAsia="楷体" w:cs="Times New Roman"/>
          <w:color w:val="222222"/>
          <w:kern w:val="0"/>
          <w:sz w:val="32"/>
          <w:szCs w:val="32"/>
        </w:rPr>
        <w:t>（二）202</w:t>
      </w:r>
      <w:r>
        <w:rPr>
          <w:rFonts w:hint="eastAsia" w:eastAsia="楷体" w:cs="Times New Roman"/>
          <w:color w:val="222222"/>
          <w:kern w:val="0"/>
          <w:sz w:val="32"/>
          <w:szCs w:val="32"/>
          <w:lang w:val="en-US" w:eastAsia="zh-CN"/>
        </w:rPr>
        <w:t>5</w:t>
      </w:r>
      <w:r>
        <w:rPr>
          <w:rFonts w:eastAsia="楷体" w:cs="Times New Roman"/>
          <w:color w:val="222222"/>
          <w:kern w:val="0"/>
          <w:sz w:val="32"/>
          <w:szCs w:val="32"/>
        </w:rPr>
        <w:t>年度部门绩效目标</w:t>
      </w:r>
    </w:p>
    <w:p w14:paraId="1EB97189">
      <w:pPr>
        <w:widowControl/>
        <w:spacing w:line="576" w:lineRule="exact"/>
        <w:ind w:firstLine="640" w:firstLineChars="200"/>
        <w:rPr>
          <w:rFonts w:eastAsia="仿宋" w:cs="Times New Roman"/>
          <w:kern w:val="0"/>
          <w:sz w:val="32"/>
          <w:szCs w:val="32"/>
        </w:rPr>
      </w:pPr>
      <w:r>
        <w:rPr>
          <w:rFonts w:eastAsia="仿宋" w:cs="Times New Roman"/>
          <w:kern w:val="0"/>
          <w:sz w:val="32"/>
          <w:szCs w:val="32"/>
        </w:rPr>
        <w:t>1.召开人民代表大会1次；召开常委会会议6次；审议决定事项9项；召开专题主任会议3次；召开乡街人大工作会议2次；审议报告事项</w:t>
      </w:r>
      <w:r>
        <w:rPr>
          <w:rFonts w:hint="eastAsia" w:eastAsia="仿宋" w:cs="Times New Roman"/>
          <w:kern w:val="0"/>
          <w:sz w:val="32"/>
          <w:szCs w:val="32"/>
          <w:lang w:val="en-US" w:eastAsia="zh-CN"/>
        </w:rPr>
        <w:t>18</w:t>
      </w:r>
      <w:r>
        <w:rPr>
          <w:rFonts w:eastAsia="仿宋" w:cs="Times New Roman"/>
          <w:kern w:val="0"/>
          <w:sz w:val="32"/>
          <w:szCs w:val="32"/>
        </w:rPr>
        <w:t>项；</w:t>
      </w:r>
    </w:p>
    <w:p w14:paraId="22F1731C">
      <w:pPr>
        <w:widowControl/>
        <w:spacing w:line="576" w:lineRule="exact"/>
        <w:ind w:firstLine="640" w:firstLineChars="200"/>
        <w:rPr>
          <w:rFonts w:hint="eastAsia" w:eastAsia="仿宋" w:cs="Times New Roman"/>
          <w:kern w:val="0"/>
          <w:sz w:val="32"/>
          <w:szCs w:val="32"/>
          <w:lang w:eastAsia="zh-CN"/>
        </w:rPr>
      </w:pPr>
      <w:r>
        <w:rPr>
          <w:rFonts w:eastAsia="仿宋" w:cs="Times New Roman"/>
          <w:kern w:val="0"/>
          <w:sz w:val="32"/>
          <w:szCs w:val="32"/>
        </w:rPr>
        <w:t>2.开展视察调研活动</w:t>
      </w:r>
      <w:r>
        <w:rPr>
          <w:rFonts w:hint="eastAsia" w:eastAsia="仿宋" w:cs="Times New Roman"/>
          <w:kern w:val="0"/>
          <w:sz w:val="32"/>
          <w:szCs w:val="32"/>
          <w:lang w:val="en-US" w:eastAsia="zh-CN"/>
        </w:rPr>
        <w:t>4</w:t>
      </w:r>
      <w:r>
        <w:rPr>
          <w:rFonts w:eastAsia="仿宋" w:cs="Times New Roman"/>
          <w:kern w:val="0"/>
          <w:sz w:val="32"/>
          <w:szCs w:val="32"/>
        </w:rPr>
        <w:t>次；督办完成重点建议案6件</w:t>
      </w:r>
      <w:r>
        <w:rPr>
          <w:rFonts w:hint="eastAsia" w:eastAsia="仿宋" w:cs="Times New Roman"/>
          <w:kern w:val="0"/>
          <w:sz w:val="32"/>
          <w:szCs w:val="32"/>
          <w:lang w:eastAsia="zh-CN"/>
        </w:rPr>
        <w:t>；</w:t>
      </w:r>
    </w:p>
    <w:p w14:paraId="29F0C2D3">
      <w:pPr>
        <w:widowControl/>
        <w:spacing w:line="576" w:lineRule="exact"/>
        <w:ind w:firstLine="640" w:firstLineChars="200"/>
        <w:rPr>
          <w:rFonts w:eastAsia="仿宋" w:cs="Times New Roman"/>
          <w:kern w:val="0"/>
          <w:sz w:val="32"/>
          <w:szCs w:val="32"/>
          <w:highlight w:val="yellow"/>
        </w:rPr>
      </w:pPr>
      <w:r>
        <w:rPr>
          <w:rFonts w:eastAsia="仿宋" w:cs="Times New Roman"/>
          <w:kern w:val="0"/>
          <w:sz w:val="32"/>
          <w:szCs w:val="32"/>
          <w:highlight w:val="none"/>
        </w:rPr>
        <w:t>3.</w:t>
      </w:r>
      <w:r>
        <w:rPr>
          <w:rFonts w:eastAsia="仿宋" w:cs="Times New Roman"/>
          <w:kern w:val="0"/>
          <w:sz w:val="32"/>
          <w:szCs w:val="32"/>
        </w:rPr>
        <w:t>202</w:t>
      </w:r>
      <w:r>
        <w:rPr>
          <w:rFonts w:hint="eastAsia" w:eastAsia="仿宋" w:cs="Times New Roman"/>
          <w:kern w:val="0"/>
          <w:sz w:val="32"/>
          <w:szCs w:val="32"/>
          <w:lang w:val="en-US" w:eastAsia="zh-CN"/>
        </w:rPr>
        <w:t>5</w:t>
      </w:r>
      <w:r>
        <w:rPr>
          <w:rFonts w:eastAsia="仿宋" w:cs="Times New Roman"/>
          <w:kern w:val="0"/>
          <w:sz w:val="32"/>
          <w:szCs w:val="32"/>
        </w:rPr>
        <w:t>年区人大常委会审议决定工作落实率100%；</w:t>
      </w:r>
    </w:p>
    <w:p w14:paraId="2BD896F2">
      <w:pPr>
        <w:widowControl/>
        <w:spacing w:line="576" w:lineRule="exact"/>
        <w:ind w:firstLine="640" w:firstLineChars="200"/>
        <w:rPr>
          <w:rFonts w:hint="default" w:eastAsia="仿宋" w:cs="Times New Roman"/>
          <w:kern w:val="0"/>
          <w:sz w:val="32"/>
          <w:szCs w:val="32"/>
          <w:lang w:val="en-US" w:eastAsia="zh-CN"/>
        </w:rPr>
      </w:pPr>
      <w:r>
        <w:rPr>
          <w:rFonts w:eastAsia="仿宋" w:cs="Times New Roman"/>
          <w:kern w:val="0"/>
          <w:sz w:val="32"/>
          <w:szCs w:val="32"/>
        </w:rPr>
        <w:t>4.</w:t>
      </w:r>
      <w:r>
        <w:rPr>
          <w:rFonts w:hint="eastAsia" w:eastAsia="仿宋" w:cs="Times New Roman"/>
          <w:kern w:val="0"/>
          <w:sz w:val="32"/>
          <w:szCs w:val="32"/>
          <w:lang w:eastAsia="zh-CN"/>
        </w:rPr>
        <w:t>落实代表轮训计划</w:t>
      </w:r>
      <w:r>
        <w:rPr>
          <w:rFonts w:hint="eastAsia" w:eastAsia="仿宋" w:cs="Times New Roman"/>
          <w:kern w:val="0"/>
          <w:sz w:val="32"/>
          <w:szCs w:val="32"/>
          <w:lang w:val="en-US" w:eastAsia="zh-CN"/>
        </w:rPr>
        <w:t>1次；</w:t>
      </w:r>
    </w:p>
    <w:p w14:paraId="0822E4E0">
      <w:pPr>
        <w:widowControl/>
        <w:spacing w:line="576" w:lineRule="exact"/>
        <w:ind w:firstLine="640" w:firstLineChars="200"/>
        <w:rPr>
          <w:rFonts w:eastAsia="仿宋" w:cs="Times New Roman"/>
          <w:kern w:val="0"/>
          <w:sz w:val="32"/>
          <w:szCs w:val="32"/>
        </w:rPr>
      </w:pPr>
      <w:r>
        <w:rPr>
          <w:rFonts w:eastAsia="仿宋" w:cs="Times New Roman"/>
          <w:kern w:val="0"/>
          <w:sz w:val="32"/>
          <w:szCs w:val="32"/>
        </w:rPr>
        <w:t>5.各项案件、反馈问题处理率98%；代表建议办理率100%；</w:t>
      </w:r>
    </w:p>
    <w:p w14:paraId="5D62F1AF">
      <w:pPr>
        <w:widowControl/>
        <w:spacing w:line="576" w:lineRule="exact"/>
        <w:ind w:firstLine="640" w:firstLineChars="200"/>
        <w:rPr>
          <w:rFonts w:eastAsia="仿宋" w:cs="Times New Roman"/>
          <w:kern w:val="0"/>
          <w:sz w:val="32"/>
          <w:szCs w:val="32"/>
        </w:rPr>
      </w:pPr>
      <w:r>
        <w:rPr>
          <w:rFonts w:eastAsia="仿宋" w:cs="Times New Roman"/>
          <w:kern w:val="0"/>
          <w:sz w:val="32"/>
          <w:szCs w:val="32"/>
        </w:rPr>
        <w:t>6.根据单位工作开展或项目实施的影响面，群众满意度90%以上。</w:t>
      </w:r>
    </w:p>
    <w:p w14:paraId="39F19B9B">
      <w:pPr>
        <w:widowControl/>
        <w:spacing w:line="576" w:lineRule="exact"/>
        <w:ind w:firstLine="640"/>
        <w:rPr>
          <w:rFonts w:eastAsia="黑体" w:cs="Times New Roman"/>
          <w:color w:val="222222"/>
          <w:kern w:val="0"/>
          <w:sz w:val="32"/>
          <w:szCs w:val="32"/>
        </w:rPr>
      </w:pPr>
      <w:r>
        <w:rPr>
          <w:rFonts w:eastAsia="黑体" w:cs="Times New Roman"/>
          <w:color w:val="222222"/>
          <w:kern w:val="0"/>
          <w:sz w:val="32"/>
          <w:szCs w:val="32"/>
        </w:rPr>
        <w:t>四、绩效评价工作情况</w:t>
      </w:r>
    </w:p>
    <w:p w14:paraId="3D3CEE42">
      <w:pPr>
        <w:widowControl/>
        <w:spacing w:line="576" w:lineRule="exact"/>
        <w:ind w:firstLine="640"/>
        <w:rPr>
          <w:rFonts w:hint="eastAsia" w:eastAsia="仿宋" w:cs="Times New Roman"/>
          <w:color w:val="222222"/>
          <w:kern w:val="0"/>
          <w:sz w:val="32"/>
          <w:szCs w:val="32"/>
        </w:rPr>
      </w:pPr>
      <w:r>
        <w:rPr>
          <w:rFonts w:eastAsia="仿宋" w:cs="Times New Roman"/>
          <w:color w:val="222222"/>
          <w:kern w:val="0"/>
          <w:sz w:val="32"/>
          <w:szCs w:val="32"/>
        </w:rPr>
        <w:t>我单位接到财政局通知后，成立了评价小组，结合项目实际</w:t>
      </w:r>
    </w:p>
    <w:p w14:paraId="3F7CCF31">
      <w:pPr>
        <w:widowControl/>
        <w:spacing w:line="576" w:lineRule="exact"/>
        <w:rPr>
          <w:rFonts w:eastAsia="黑体" w:cs="Times New Roman"/>
          <w:color w:val="222222"/>
          <w:kern w:val="0"/>
          <w:sz w:val="32"/>
          <w:szCs w:val="32"/>
        </w:rPr>
      </w:pPr>
      <w:r>
        <w:rPr>
          <w:rFonts w:eastAsia="仿宋" w:cs="Times New Roman"/>
          <w:color w:val="222222"/>
          <w:kern w:val="0"/>
          <w:sz w:val="32"/>
          <w:szCs w:val="32"/>
        </w:rPr>
        <w:t>情况制定了绩效评价方案。评价实施过程中根据拟定方案，经过</w:t>
      </w:r>
    </w:p>
    <w:p w14:paraId="734D310E">
      <w:pPr>
        <w:widowControl/>
        <w:spacing w:line="576" w:lineRule="exact"/>
        <w:rPr>
          <w:rFonts w:eastAsia="仿宋" w:cs="Times New Roman"/>
          <w:color w:val="222222"/>
          <w:kern w:val="0"/>
          <w:sz w:val="32"/>
          <w:szCs w:val="32"/>
        </w:rPr>
      </w:pPr>
      <w:r>
        <w:rPr>
          <w:rFonts w:eastAsia="仿宋" w:cs="Times New Roman"/>
          <w:color w:val="222222"/>
          <w:kern w:val="0"/>
          <w:sz w:val="32"/>
          <w:szCs w:val="32"/>
        </w:rPr>
        <w:t>收集资料、问卷调查、综合分析等程序后，形成本绩效自评报告。</w:t>
      </w:r>
    </w:p>
    <w:p w14:paraId="0E5D3DD1">
      <w:pPr>
        <w:widowControl/>
        <w:spacing w:line="576" w:lineRule="exact"/>
        <w:ind w:firstLine="640"/>
        <w:rPr>
          <w:rFonts w:eastAsia="黑体" w:cs="Times New Roman"/>
          <w:color w:val="222222"/>
          <w:kern w:val="0"/>
          <w:sz w:val="32"/>
          <w:szCs w:val="32"/>
        </w:rPr>
      </w:pPr>
      <w:r>
        <w:rPr>
          <w:rFonts w:eastAsia="黑体" w:cs="Times New Roman"/>
          <w:color w:val="222222"/>
          <w:kern w:val="0"/>
          <w:sz w:val="32"/>
          <w:szCs w:val="32"/>
        </w:rPr>
        <w:t>五、综合评价结果</w:t>
      </w:r>
    </w:p>
    <w:p w14:paraId="61EF5F91">
      <w:pPr>
        <w:spacing w:line="576" w:lineRule="exact"/>
        <w:ind w:left="420" w:leftChars="200"/>
        <w:rPr>
          <w:rFonts w:hint="default" w:eastAsia="仿宋" w:cs="Times New Roman"/>
          <w:color w:val="0000FF"/>
          <w:kern w:val="0"/>
          <w:sz w:val="32"/>
          <w:szCs w:val="32"/>
          <w:lang w:val="en-US" w:eastAsia="zh-CN"/>
        </w:rPr>
      </w:pPr>
      <w:r>
        <w:rPr>
          <w:rFonts w:eastAsia="仿宋" w:cs="Times New Roman"/>
          <w:color w:val="000000"/>
          <w:kern w:val="0"/>
          <w:sz w:val="32"/>
          <w:szCs w:val="32"/>
        </w:rPr>
        <w:t>经综合评价，区人大 202</w:t>
      </w:r>
      <w:r>
        <w:rPr>
          <w:rFonts w:hint="eastAsia" w:eastAsia="仿宋" w:cs="Times New Roman"/>
          <w:color w:val="000000"/>
          <w:kern w:val="0"/>
          <w:sz w:val="32"/>
          <w:szCs w:val="32"/>
          <w:lang w:val="en-US" w:eastAsia="zh-CN"/>
        </w:rPr>
        <w:t>5</w:t>
      </w:r>
      <w:r>
        <w:rPr>
          <w:rFonts w:eastAsia="仿宋" w:cs="Times New Roman"/>
          <w:color w:val="000000"/>
          <w:kern w:val="0"/>
          <w:sz w:val="32"/>
          <w:szCs w:val="32"/>
        </w:rPr>
        <w:t>年部门整体支出绩效评价得分</w:t>
      </w:r>
      <w:r>
        <w:rPr>
          <w:rFonts w:hint="eastAsia" w:eastAsia="仿宋" w:cs="Times New Roman"/>
          <w:color w:val="000000"/>
          <w:kern w:val="0"/>
          <w:sz w:val="32"/>
          <w:szCs w:val="32"/>
          <w:lang w:val="en-US" w:eastAsia="zh-CN"/>
        </w:rPr>
        <w:t>95</w:t>
      </w:r>
    </w:p>
    <w:p w14:paraId="0CD2CF28">
      <w:pPr>
        <w:widowControl/>
        <w:spacing w:line="576" w:lineRule="exact"/>
        <w:rPr>
          <w:rFonts w:eastAsia="仿宋" w:cs="Times New Roman"/>
          <w:color w:val="auto"/>
          <w:sz w:val="32"/>
          <w:szCs w:val="32"/>
        </w:rPr>
      </w:pPr>
      <w:r>
        <w:rPr>
          <w:rFonts w:eastAsia="仿宋" w:cs="Times New Roman"/>
          <w:color w:val="auto"/>
          <w:kern w:val="0"/>
          <w:sz w:val="32"/>
          <w:szCs w:val="32"/>
        </w:rPr>
        <w:t>分，评价结果为“ 优”。</w:t>
      </w:r>
    </w:p>
    <w:p w14:paraId="56F42845">
      <w:pPr>
        <w:widowControl/>
        <w:spacing w:line="576" w:lineRule="exact"/>
        <w:ind w:firstLine="640"/>
        <w:rPr>
          <w:rFonts w:eastAsia="黑体" w:cs="Times New Roman"/>
          <w:color w:val="222222"/>
          <w:kern w:val="0"/>
          <w:sz w:val="32"/>
          <w:szCs w:val="32"/>
        </w:rPr>
      </w:pPr>
      <w:r>
        <w:rPr>
          <w:rFonts w:eastAsia="黑体" w:cs="Times New Roman"/>
          <w:color w:val="222222"/>
          <w:kern w:val="0"/>
          <w:sz w:val="32"/>
          <w:szCs w:val="32"/>
        </w:rPr>
        <w:t>六、部门整体支出绩效情况</w:t>
      </w:r>
    </w:p>
    <w:p w14:paraId="1FB3BA42">
      <w:pPr>
        <w:widowControl/>
        <w:spacing w:line="576" w:lineRule="exact"/>
        <w:ind w:firstLine="640"/>
        <w:rPr>
          <w:rFonts w:eastAsia="楷体" w:cs="Times New Roman"/>
          <w:color w:val="222222"/>
          <w:kern w:val="0"/>
          <w:sz w:val="32"/>
          <w:szCs w:val="32"/>
        </w:rPr>
      </w:pPr>
      <w:r>
        <w:rPr>
          <w:rFonts w:eastAsia="楷体" w:cs="Times New Roman"/>
          <w:color w:val="222222"/>
          <w:kern w:val="0"/>
          <w:sz w:val="32"/>
          <w:szCs w:val="32"/>
        </w:rPr>
        <w:t>（一）绩效目标完成情况</w:t>
      </w:r>
    </w:p>
    <w:p w14:paraId="66992C90">
      <w:pPr>
        <w:keepNext w:val="0"/>
        <w:keepLines w:val="0"/>
        <w:pageBreakBefore w:val="0"/>
        <w:kinsoku/>
        <w:wordWrap/>
        <w:topLinePunct w:val="0"/>
        <w:bidi w:val="0"/>
        <w:adjustRightInd/>
        <w:snapToGrid/>
        <w:spacing w:line="610" w:lineRule="exact"/>
        <w:ind w:left="0" w:firstLine="640" w:firstLineChars="200"/>
        <w:textAlignment w:val="auto"/>
        <w:outlineLvl w:val="9"/>
        <w:rPr>
          <w:rFonts w:eastAsia="楷体" w:cs="Times New Roman"/>
          <w:color w:val="222222"/>
          <w:kern w:val="0"/>
          <w:sz w:val="32"/>
          <w:szCs w:val="32"/>
        </w:rPr>
      </w:pPr>
      <w:r>
        <w:rPr>
          <w:rFonts w:hint="eastAsia" w:ascii="Times New Roman" w:hAnsi="Times New Roman" w:eastAsia="仿宋_GB2312" w:cs="Times New Roman"/>
          <w:kern w:val="0"/>
          <w:sz w:val="32"/>
          <w:szCs w:val="32"/>
        </w:rPr>
        <w:t>2025年，区人大常委会坚持以习近平新时代中国特色社会主义思想为指导，全面贯彻党的二十大和二十届历次全会精神，在区委坚强领导下，扛牢人大职责使命，展现人大担当作为，</w:t>
      </w:r>
      <w:r>
        <w:rPr>
          <w:rFonts w:hint="eastAsia" w:ascii="Times New Roman" w:hAnsi="Times New Roman" w:eastAsia="仿宋_GB2312" w:cs="Times New Roman"/>
          <w:kern w:val="0"/>
          <w:sz w:val="32"/>
          <w:szCs w:val="32"/>
          <w:lang w:val="en-US" w:eastAsia="zh-CN"/>
        </w:rPr>
        <w:t>全年召开常委会会议9次，专题主任会议4次，听取和审议专项工作报告17个，组织开展执法检查、集中视察7次，形成审议意见12件，作出决议决定6个，圆满完成区十八届人大五次会议确定的目标任务，</w:t>
      </w:r>
      <w:r>
        <w:rPr>
          <w:rFonts w:hint="eastAsia" w:ascii="Times New Roman" w:hAnsi="Times New Roman" w:eastAsia="仿宋_GB2312" w:cs="Times New Roman"/>
          <w:kern w:val="0"/>
          <w:sz w:val="32"/>
          <w:szCs w:val="32"/>
        </w:rPr>
        <w:t>为全区高质量发展和民主法治建设作出积极贡献。</w:t>
      </w:r>
      <w:r>
        <w:rPr>
          <w:rFonts w:eastAsia="楷体" w:cs="Times New Roman"/>
          <w:color w:val="222222"/>
          <w:kern w:val="0"/>
          <w:sz w:val="32"/>
          <w:szCs w:val="32"/>
        </w:rPr>
        <w:t xml:space="preserve"> </w:t>
      </w:r>
    </w:p>
    <w:p w14:paraId="52A0B731">
      <w:pPr>
        <w:keepNext w:val="0"/>
        <w:keepLines w:val="0"/>
        <w:pageBreakBefore w:val="0"/>
        <w:kinsoku/>
        <w:wordWrap/>
        <w:topLinePunct w:val="0"/>
        <w:bidi w:val="0"/>
        <w:adjustRightInd/>
        <w:snapToGrid/>
        <w:spacing w:line="610" w:lineRule="exact"/>
        <w:ind w:left="0" w:firstLine="640" w:firstLineChars="200"/>
        <w:textAlignment w:val="auto"/>
        <w:outlineLvl w:val="9"/>
        <w:rPr>
          <w:rFonts w:ascii="Times New Roman" w:hAnsi="Times New Roman" w:eastAsia="仿宋_GB2312" w:cs="Times New Roman"/>
          <w:kern w:val="0"/>
          <w:sz w:val="32"/>
          <w:szCs w:val="32"/>
          <w:lang w:val="en-US" w:eastAsia="zh-CN"/>
        </w:rPr>
      </w:pPr>
      <w:r>
        <w:rPr>
          <w:rFonts w:hint="eastAsia" w:ascii="Times New Roman" w:hAnsi="Times New Roman" w:eastAsia="楷体_GB2312" w:cs="Times New Roman"/>
          <w:sz w:val="32"/>
          <w:szCs w:val="32"/>
        </w:rPr>
        <w:t>持续强化理论武装。</w:t>
      </w:r>
      <w:r>
        <w:rPr>
          <w:rFonts w:hint="eastAsia" w:ascii="Times New Roman" w:hAnsi="Times New Roman" w:eastAsia="仿宋_GB2312" w:cs="Times New Roman"/>
          <w:kern w:val="0"/>
          <w:sz w:val="32"/>
          <w:szCs w:val="32"/>
          <w:lang w:val="en-US" w:eastAsia="zh-CN"/>
        </w:rPr>
        <w:t>坚持把学习习近平新时代中国特色社会主义思想作为首要政治任务，</w:t>
      </w:r>
      <w:r>
        <w:rPr>
          <w:rFonts w:hint="eastAsia" w:ascii="Times New Roman" w:hAnsi="Times New Roman" w:eastAsia="仿宋_GB2312" w:cs="Times New Roman"/>
          <w:kern w:val="0"/>
          <w:sz w:val="32"/>
          <w:szCs w:val="32"/>
        </w:rPr>
        <w:t>严格执行</w:t>
      </w:r>
      <w:r>
        <w:rPr>
          <w:rFonts w:hint="eastAsia" w:ascii="Times New Roman" w:hAnsi="Times New Roman" w:eastAsia="仿宋_GB2312" w:cs="Times New Roman"/>
          <w:kern w:val="0"/>
          <w:sz w:val="32"/>
          <w:szCs w:val="32"/>
          <w:lang w:val="en-US" w:eastAsia="zh-CN"/>
        </w:rPr>
        <w:t>人大常委会党组会议</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第一议题</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学习制度，</w:t>
      </w:r>
      <w:r>
        <w:rPr>
          <w:rFonts w:hint="eastAsia" w:ascii="Times New Roman" w:hAnsi="Times New Roman" w:eastAsia="仿宋_GB2312" w:cs="Times New Roman"/>
          <w:kern w:val="0"/>
          <w:sz w:val="32"/>
          <w:szCs w:val="32"/>
          <w:lang w:val="en-US" w:eastAsia="zh-CN"/>
        </w:rPr>
        <w:t>全年组织常委会党组理论学习中心组学习12次，常委会会前学习3次，全面系统、</w:t>
      </w:r>
      <w:r>
        <w:rPr>
          <w:rFonts w:hint="eastAsia" w:ascii="Times New Roman" w:hAnsi="Times New Roman" w:eastAsia="仿宋_GB2312" w:cs="Times New Roman"/>
          <w:kern w:val="0"/>
          <w:sz w:val="32"/>
          <w:szCs w:val="32"/>
        </w:rPr>
        <w:t>及时跟进学习习近平总书记重要讲话和重要指示批示精神，第一时间传达学习党的二十届四中全会精神</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将习近平总书记关于坚持和完善人民代表大会制度的重要思想以及新修订的《监督法》</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纳入区委理论学习中心组</w:t>
      </w:r>
      <w:r>
        <w:rPr>
          <w:rFonts w:hint="eastAsia" w:ascii="Times New Roman" w:hAnsi="Times New Roman" w:eastAsia="仿宋_GB2312" w:cs="Times New Roman"/>
          <w:kern w:val="0"/>
          <w:sz w:val="32"/>
          <w:szCs w:val="32"/>
          <w:lang w:val="en-US" w:eastAsia="zh-CN"/>
        </w:rPr>
        <w:t>学习和</w:t>
      </w:r>
      <w:r>
        <w:rPr>
          <w:rFonts w:hint="eastAsia" w:ascii="Times New Roman" w:hAnsi="Times New Roman" w:eastAsia="仿宋_GB2312" w:cs="Times New Roman"/>
          <w:kern w:val="0"/>
          <w:sz w:val="32"/>
          <w:szCs w:val="32"/>
        </w:rPr>
        <w:t>区委党校教学内容</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为全区上下自觉尊崇、严格执行人民代表大会制度发挥了重要引领作用。</w:t>
      </w:r>
    </w:p>
    <w:p w14:paraId="6034904E">
      <w:pPr>
        <w:keepNext w:val="0"/>
        <w:keepLines w:val="0"/>
        <w:pageBreakBefore w:val="0"/>
        <w:kinsoku/>
        <w:wordWrap/>
        <w:topLinePunct w:val="0"/>
        <w:bidi w:val="0"/>
        <w:adjustRightInd/>
        <w:snapToGrid/>
        <w:spacing w:line="610" w:lineRule="exact"/>
        <w:ind w:left="0" w:firstLine="640" w:firstLineChars="200"/>
        <w:textAlignment w:val="auto"/>
        <w:outlineLvl w:val="9"/>
        <w:rPr>
          <w:rFonts w:hint="eastAsia" w:ascii="Times New Roman" w:hAnsi="Times New Roman" w:eastAsia="仿宋_GB2312" w:cs="Times New Roman"/>
          <w:kern w:val="0"/>
          <w:sz w:val="32"/>
          <w:szCs w:val="32"/>
        </w:rPr>
      </w:pPr>
      <w:r>
        <w:rPr>
          <w:rFonts w:hint="eastAsia" w:ascii="Times New Roman" w:hAnsi="Times New Roman" w:eastAsia="楷体_GB2312" w:cs="Times New Roman"/>
          <w:sz w:val="32"/>
          <w:szCs w:val="32"/>
          <w:lang w:val="en-US" w:eastAsia="zh-CN"/>
        </w:rPr>
        <w:t>坚决服从党委领导。</w:t>
      </w:r>
      <w:r>
        <w:rPr>
          <w:rFonts w:hint="eastAsia" w:ascii="Times New Roman" w:hAnsi="Times New Roman" w:eastAsia="仿宋_GB2312" w:cs="Times New Roman"/>
          <w:kern w:val="0"/>
          <w:sz w:val="32"/>
          <w:szCs w:val="32"/>
          <w:lang w:val="en-US" w:eastAsia="zh-CN"/>
        </w:rPr>
        <w:t>自觉将党的全面领导贯穿人大工作全过程、各方面。区委高度重视人大工作，区委常委会议专题听取、研究落实省委关于人大工作高质量发展意见精神，将人大代表建议办理工作纳入对区直部门考核范畴，进一步加强了区委对人大工作的领导，落实了相关部门支持人大工作的责任。</w:t>
      </w:r>
      <w:r>
        <w:rPr>
          <w:rFonts w:hint="eastAsia" w:ascii="Times New Roman" w:hAnsi="Times New Roman" w:eastAsia="仿宋_GB2312" w:cs="Times New Roman"/>
          <w:kern w:val="0"/>
          <w:sz w:val="32"/>
          <w:szCs w:val="32"/>
        </w:rPr>
        <w:t>严格执行重大事项请示报告制度，</w:t>
      </w:r>
      <w:r>
        <w:rPr>
          <w:rFonts w:hint="eastAsia" w:ascii="Times New Roman" w:hAnsi="Times New Roman" w:eastAsia="仿宋_GB2312" w:cs="Times New Roman"/>
          <w:kern w:val="0"/>
          <w:sz w:val="32"/>
          <w:szCs w:val="32"/>
          <w:lang w:val="en-US" w:eastAsia="zh-CN"/>
        </w:rPr>
        <w:t>全年就人大代表进站履职、区级领导领办重点建议、评议优化营商环境工作等重大活动、</w:t>
      </w:r>
      <w:r>
        <w:rPr>
          <w:rFonts w:hint="eastAsia" w:ascii="Times New Roman" w:hAnsi="Times New Roman" w:eastAsia="仿宋_GB2312" w:cs="Times New Roman"/>
          <w:kern w:val="0"/>
          <w:sz w:val="32"/>
          <w:szCs w:val="32"/>
        </w:rPr>
        <w:t>重</w:t>
      </w:r>
      <w:r>
        <w:rPr>
          <w:rFonts w:hint="eastAsia" w:ascii="Times New Roman" w:hAnsi="Times New Roman" w:eastAsia="仿宋_GB2312" w:cs="Times New Roman"/>
          <w:kern w:val="0"/>
          <w:sz w:val="32"/>
          <w:szCs w:val="32"/>
          <w:lang w:val="en-US" w:eastAsia="zh-CN"/>
        </w:rPr>
        <w:t>要</w:t>
      </w:r>
      <w:r>
        <w:rPr>
          <w:rFonts w:hint="eastAsia" w:ascii="Times New Roman" w:hAnsi="Times New Roman" w:eastAsia="仿宋_GB2312" w:cs="Times New Roman"/>
          <w:kern w:val="0"/>
          <w:sz w:val="32"/>
          <w:szCs w:val="32"/>
        </w:rPr>
        <w:t>工作</w:t>
      </w:r>
      <w:r>
        <w:rPr>
          <w:rFonts w:hint="eastAsia" w:ascii="Times New Roman" w:hAnsi="Times New Roman" w:eastAsia="仿宋_GB2312" w:cs="Times New Roman"/>
          <w:kern w:val="0"/>
          <w:sz w:val="32"/>
          <w:szCs w:val="32"/>
          <w:lang w:val="en-US" w:eastAsia="zh-CN"/>
        </w:rPr>
        <w:t>向区委请示报告13次</w:t>
      </w:r>
      <w:r>
        <w:rPr>
          <w:rFonts w:hint="eastAsia" w:ascii="Times New Roman" w:hAnsi="Times New Roman" w:eastAsia="仿宋_GB2312" w:cs="Times New Roman"/>
          <w:kern w:val="0"/>
          <w:sz w:val="32"/>
          <w:szCs w:val="32"/>
        </w:rPr>
        <w:t>。坚持党管干部原则，全年依法依规补选常委会组成人员及代表10名，任免国家机关工作人员33人次，</w:t>
      </w:r>
      <w:r>
        <w:rPr>
          <w:rFonts w:hint="eastAsia" w:ascii="Times New Roman" w:hAnsi="Times New Roman" w:eastAsia="仿宋_GB2312" w:cs="Times New Roman"/>
          <w:kern w:val="0"/>
          <w:sz w:val="32"/>
          <w:szCs w:val="32"/>
          <w:lang w:val="en-US" w:eastAsia="zh-CN"/>
        </w:rPr>
        <w:t>圆满</w:t>
      </w:r>
      <w:r>
        <w:rPr>
          <w:rFonts w:hint="eastAsia" w:ascii="Times New Roman" w:hAnsi="Times New Roman" w:eastAsia="仿宋_GB2312" w:cs="Times New Roman"/>
          <w:kern w:val="0"/>
          <w:sz w:val="32"/>
          <w:szCs w:val="32"/>
        </w:rPr>
        <w:t>实现</w:t>
      </w:r>
      <w:r>
        <w:rPr>
          <w:rFonts w:hint="eastAsia" w:ascii="Times New Roman" w:hAnsi="Times New Roman" w:eastAsia="仿宋_GB2312" w:cs="Times New Roman"/>
          <w:kern w:val="0"/>
          <w:sz w:val="32"/>
          <w:szCs w:val="32"/>
          <w:lang w:val="en-US" w:eastAsia="zh-CN"/>
        </w:rPr>
        <w:t>组织</w:t>
      </w:r>
      <w:r>
        <w:rPr>
          <w:rFonts w:hint="eastAsia" w:ascii="Times New Roman" w:hAnsi="Times New Roman" w:eastAsia="仿宋_GB2312" w:cs="Times New Roman"/>
          <w:kern w:val="0"/>
          <w:sz w:val="32"/>
          <w:szCs w:val="32"/>
        </w:rPr>
        <w:t>意图。</w:t>
      </w:r>
    </w:p>
    <w:p w14:paraId="65B467C0">
      <w:pPr>
        <w:keepNext w:val="0"/>
        <w:keepLines w:val="0"/>
        <w:pageBreakBefore w:val="0"/>
        <w:kinsoku/>
        <w:wordWrap/>
        <w:topLinePunct w:val="0"/>
        <w:bidi w:val="0"/>
        <w:adjustRightInd/>
        <w:snapToGrid/>
        <w:spacing w:line="610" w:lineRule="exact"/>
        <w:ind w:left="0" w:firstLine="640" w:firstLineChars="200"/>
        <w:textAlignment w:val="auto"/>
        <w:outlineLvl w:val="9"/>
        <w:rPr>
          <w:rFonts w:hint="eastAsia" w:ascii="Times New Roman" w:hAnsi="Times New Roman" w:eastAsia="仿宋_GB2312" w:cs="Times New Roman"/>
          <w:kern w:val="0"/>
          <w:sz w:val="32"/>
          <w:szCs w:val="32"/>
          <w:lang w:eastAsia="zh-CN"/>
        </w:rPr>
      </w:pPr>
      <w:r>
        <w:rPr>
          <w:rFonts w:hint="eastAsia" w:ascii="Times New Roman" w:hAnsi="Times New Roman" w:eastAsia="楷体_GB2312" w:cs="Times New Roman"/>
          <w:sz w:val="32"/>
          <w:szCs w:val="32"/>
        </w:rPr>
        <w:t>全</w:t>
      </w:r>
      <w:r>
        <w:rPr>
          <w:rFonts w:hint="eastAsia" w:ascii="Times New Roman" w:hAnsi="Times New Roman" w:eastAsia="楷体_GB2312" w:cs="Times New Roman"/>
          <w:sz w:val="32"/>
          <w:szCs w:val="32"/>
          <w:lang w:val="en-US" w:eastAsia="zh-CN"/>
        </w:rPr>
        <w:t>面</w:t>
      </w:r>
      <w:r>
        <w:rPr>
          <w:rFonts w:hint="eastAsia" w:ascii="Times New Roman" w:hAnsi="Times New Roman" w:eastAsia="楷体_GB2312" w:cs="Times New Roman"/>
          <w:sz w:val="32"/>
          <w:szCs w:val="32"/>
        </w:rPr>
        <w:t>落实区委决策。</w:t>
      </w:r>
      <w:r>
        <w:rPr>
          <w:rFonts w:hint="eastAsia" w:ascii="Times New Roman" w:hAnsi="Times New Roman" w:eastAsia="仿宋_GB2312" w:cs="Times New Roman"/>
          <w:kern w:val="0"/>
          <w:sz w:val="32"/>
          <w:szCs w:val="32"/>
          <w:lang w:val="en-US" w:eastAsia="zh-CN"/>
        </w:rPr>
        <w:t>紧跟区委“五项重点工作、两项专项工作”决策部署，组织代表就文科融合发展赴马栏山文创产业园学习考察，围绕数据标注产业发展、殡葬规范管理、步行城提质改造、农村饮水安全等开展专题调研和集中视察，形成高质量代表建议提交市八届人大五次</w:t>
      </w:r>
      <w:r>
        <w:rPr>
          <w:rFonts w:ascii="Times New Roman" w:hAnsi="Times New Roman" w:eastAsia="仿宋_GB2312" w:cs="Times New Roman"/>
          <w:kern w:val="0"/>
          <w:sz w:val="32"/>
          <w:szCs w:val="32"/>
          <w:lang w:val="en-US" w:eastAsia="zh-CN"/>
        </w:rPr>
        <w:t>会议</w:t>
      </w:r>
      <w:r>
        <w:rPr>
          <w:rFonts w:hint="eastAsia" w:ascii="Times New Roman" w:hAnsi="Times New Roman" w:eastAsia="仿宋_GB2312" w:cs="Times New Roman"/>
          <w:kern w:val="0"/>
          <w:sz w:val="32"/>
          <w:szCs w:val="32"/>
          <w:lang w:val="en-US" w:eastAsia="zh-CN"/>
        </w:rPr>
        <w:t>，推动相关问题得到市政府及相关市直部门的关注和重视。助力</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十五五</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规划编制，提出强化战略导向、改革导向、民生导向等建议</w:t>
      </w:r>
      <w:r>
        <w:rPr>
          <w:rFonts w:hint="eastAsia" w:ascii="Times New Roman" w:hAnsi="Times New Roman" w:eastAsia="仿宋_GB2312" w:cs="Times New Roman"/>
          <w:kern w:val="0"/>
          <w:sz w:val="32"/>
          <w:szCs w:val="32"/>
          <w:lang w:eastAsia="zh-CN"/>
        </w:rPr>
        <w:t>，推动规划编制更加契合</w:t>
      </w:r>
      <w:r>
        <w:rPr>
          <w:rFonts w:hint="eastAsia" w:ascii="Times New Roman" w:hAnsi="Times New Roman" w:eastAsia="仿宋_GB2312" w:cs="Times New Roman"/>
          <w:kern w:val="0"/>
          <w:sz w:val="32"/>
          <w:szCs w:val="32"/>
          <w:lang w:val="en-US" w:eastAsia="zh-CN"/>
        </w:rPr>
        <w:t>政策方向、符合武陵</w:t>
      </w:r>
      <w:r>
        <w:rPr>
          <w:rFonts w:hint="eastAsia" w:ascii="Times New Roman" w:hAnsi="Times New Roman" w:eastAsia="仿宋_GB2312" w:cs="Times New Roman"/>
          <w:kern w:val="0"/>
          <w:sz w:val="32"/>
          <w:szCs w:val="32"/>
          <w:lang w:eastAsia="zh-CN"/>
        </w:rPr>
        <w:t>实际。</w:t>
      </w:r>
      <w:r>
        <w:rPr>
          <w:rFonts w:hint="eastAsia" w:ascii="Times New Roman" w:hAnsi="Times New Roman" w:eastAsia="仿宋_GB2312" w:cs="Times New Roman"/>
          <w:kern w:val="0"/>
          <w:sz w:val="32"/>
          <w:szCs w:val="32"/>
          <w:lang w:val="en-US" w:eastAsia="zh-CN"/>
        </w:rPr>
        <w:t>开展</w:t>
      </w:r>
      <w:r>
        <w:rPr>
          <w:rFonts w:hint="eastAsia" w:ascii="Times New Roman" w:hAnsi="Times New Roman" w:eastAsia="仿宋_GB2312" w:cs="Times New Roman"/>
          <w:kern w:val="0"/>
          <w:sz w:val="32"/>
          <w:szCs w:val="32"/>
          <w:lang w:eastAsia="zh-CN"/>
        </w:rPr>
        <w:t>乡镇、街道履职责任清单合法性审查，推动</w:t>
      </w:r>
      <w:r>
        <w:rPr>
          <w:rFonts w:hint="eastAsia" w:ascii="Times New Roman" w:hAnsi="Times New Roman" w:eastAsia="仿宋_GB2312" w:cs="Times New Roman"/>
          <w:kern w:val="0"/>
          <w:sz w:val="32"/>
          <w:szCs w:val="32"/>
          <w:lang w:val="en-US" w:eastAsia="zh-CN"/>
        </w:rPr>
        <w:t>区委深化</w:t>
      </w:r>
      <w:r>
        <w:rPr>
          <w:rFonts w:hint="eastAsia" w:ascii="Times New Roman" w:hAnsi="Times New Roman" w:eastAsia="仿宋_GB2312" w:cs="Times New Roman"/>
          <w:kern w:val="0"/>
          <w:sz w:val="32"/>
          <w:szCs w:val="32"/>
          <w:lang w:eastAsia="zh-CN"/>
        </w:rPr>
        <w:t>改革</w:t>
      </w:r>
      <w:r>
        <w:rPr>
          <w:rFonts w:hint="eastAsia" w:ascii="Times New Roman" w:hAnsi="Times New Roman" w:eastAsia="仿宋_GB2312" w:cs="Times New Roman"/>
          <w:kern w:val="0"/>
          <w:sz w:val="32"/>
          <w:szCs w:val="32"/>
          <w:lang w:val="en-US" w:eastAsia="zh-CN"/>
        </w:rPr>
        <w:t>及基层减负</w:t>
      </w:r>
      <w:r>
        <w:rPr>
          <w:rFonts w:hint="eastAsia" w:ascii="Times New Roman" w:hAnsi="Times New Roman" w:eastAsia="仿宋_GB2312" w:cs="Times New Roman"/>
          <w:kern w:val="0"/>
          <w:sz w:val="32"/>
          <w:szCs w:val="32"/>
          <w:lang w:eastAsia="zh-CN"/>
        </w:rPr>
        <w:t>落地见效。</w:t>
      </w:r>
      <w:r>
        <w:rPr>
          <w:rFonts w:hint="eastAsia" w:ascii="Times New Roman" w:hAnsi="Times New Roman" w:eastAsia="仿宋_GB2312" w:cs="Times New Roman"/>
          <w:kern w:val="0"/>
          <w:sz w:val="32"/>
          <w:szCs w:val="32"/>
          <w:lang w:val="en-US" w:eastAsia="zh-CN"/>
        </w:rPr>
        <w:t>积极参加现代服务业、农产品加工业等强产业领导小组工作，落实联企“送解优”、信访维稳、秸秆禁烧</w:t>
      </w:r>
      <w:r>
        <w:rPr>
          <w:rFonts w:hint="eastAsia" w:ascii="Times New Roman" w:hAnsi="Times New Roman" w:eastAsia="仿宋_GB2312" w:cs="Times New Roman"/>
          <w:kern w:val="0"/>
          <w:sz w:val="32"/>
          <w:szCs w:val="32"/>
        </w:rPr>
        <w:t>、安全生产等重点任务，</w:t>
      </w:r>
      <w:r>
        <w:rPr>
          <w:rFonts w:hint="eastAsia" w:ascii="Times New Roman" w:hAnsi="Times New Roman" w:eastAsia="仿宋_GB2312" w:cs="Times New Roman"/>
          <w:kern w:val="0"/>
          <w:sz w:val="32"/>
          <w:szCs w:val="32"/>
          <w:lang w:val="en-US" w:eastAsia="zh-CN"/>
        </w:rPr>
        <w:t>始终</w:t>
      </w:r>
      <w:r>
        <w:rPr>
          <w:rFonts w:hint="eastAsia" w:ascii="Times New Roman" w:hAnsi="Times New Roman" w:eastAsia="仿宋_GB2312" w:cs="Times New Roman"/>
          <w:kern w:val="0"/>
          <w:sz w:val="32"/>
          <w:szCs w:val="32"/>
        </w:rPr>
        <w:t>做到与区委同心同向、同频共振。</w:t>
      </w:r>
    </w:p>
    <w:p w14:paraId="7C31F7C3">
      <w:pPr>
        <w:keepNext w:val="0"/>
        <w:keepLines w:val="0"/>
        <w:pageBreakBefore w:val="0"/>
        <w:kinsoku/>
        <w:wordWrap/>
        <w:topLinePunct w:val="0"/>
        <w:bidi w:val="0"/>
        <w:adjustRightInd/>
        <w:snapToGrid/>
        <w:spacing w:line="610" w:lineRule="exact"/>
        <w:ind w:left="0" w:firstLine="640" w:firstLineChars="200"/>
        <w:textAlignment w:val="auto"/>
        <w:outlineLvl w:val="9"/>
        <w:rPr>
          <w:rFonts w:ascii="Times New Roman" w:hAnsi="Times New Roman" w:eastAsia="仿宋_GB2312" w:cs="Times New Roman"/>
          <w:sz w:val="32"/>
          <w:szCs w:val="32"/>
          <w:lang w:val="en-US" w:eastAsia="zh-CN"/>
        </w:rPr>
      </w:pPr>
      <w:r>
        <w:rPr>
          <w:rFonts w:hint="eastAsia" w:ascii="Times New Roman" w:hAnsi="Times New Roman" w:eastAsia="楷体_GB2312" w:cs="Times New Roman"/>
          <w:sz w:val="32"/>
          <w:szCs w:val="32"/>
        </w:rPr>
        <w:t>着力提升联系成效。</w:t>
      </w:r>
      <w:r>
        <w:rPr>
          <w:rFonts w:hint="eastAsia" w:ascii="Times New Roman" w:hAnsi="Times New Roman" w:eastAsia="仿宋_GB2312" w:cs="Times New Roman"/>
          <w:kern w:val="0"/>
          <w:sz w:val="32"/>
          <w:szCs w:val="32"/>
          <w:lang w:val="en-US" w:eastAsia="zh-CN"/>
        </w:rPr>
        <w:t>坚持把代表建议的提出和办理作为检验代表履职、为民服务成效的重要内容。</w:t>
      </w:r>
      <w:r>
        <w:rPr>
          <w:rFonts w:hint="eastAsia" w:ascii="Times New Roman" w:hAnsi="Times New Roman" w:eastAsia="仿宋_GB2312" w:cs="Times New Roman"/>
          <w:b/>
          <w:bCs/>
          <w:kern w:val="0"/>
          <w:sz w:val="32"/>
          <w:szCs w:val="32"/>
        </w:rPr>
        <w:t>注重</w:t>
      </w:r>
      <w:r>
        <w:rPr>
          <w:rFonts w:hint="eastAsia" w:ascii="Times New Roman" w:hAnsi="Times New Roman" w:eastAsia="仿宋_GB2312" w:cs="Times New Roman"/>
          <w:b/>
          <w:bCs/>
          <w:kern w:val="0"/>
          <w:sz w:val="32"/>
          <w:szCs w:val="32"/>
          <w:lang w:val="en-US" w:eastAsia="zh-CN"/>
        </w:rPr>
        <w:t>建议</w:t>
      </w:r>
      <w:r>
        <w:rPr>
          <w:rFonts w:hint="eastAsia" w:ascii="Times New Roman" w:hAnsi="Times New Roman" w:eastAsia="仿宋_GB2312" w:cs="Times New Roman"/>
          <w:b/>
          <w:bCs/>
          <w:kern w:val="0"/>
          <w:sz w:val="32"/>
          <w:szCs w:val="32"/>
        </w:rPr>
        <w:t>内容高质量。</w:t>
      </w:r>
      <w:r>
        <w:rPr>
          <w:rFonts w:hint="eastAsia" w:ascii="Times New Roman" w:hAnsi="Times New Roman" w:eastAsia="仿宋_GB2312" w:cs="Times New Roman"/>
          <w:kern w:val="0"/>
          <w:sz w:val="32"/>
          <w:szCs w:val="32"/>
        </w:rPr>
        <w:t>组织引导代表发挥专业特长和实践经验，提高建言献策的针对性和可操作性。徐伟、陈梅、余</w:t>
      </w:r>
      <w:r>
        <w:rPr>
          <w:rFonts w:hint="eastAsia" w:ascii="Times New Roman" w:hAnsi="Times New Roman" w:eastAsia="仿宋_GB2312" w:cs="Times New Roman"/>
          <w:kern w:val="0"/>
          <w:sz w:val="32"/>
          <w:szCs w:val="32"/>
          <w:lang w:val="en-US" w:eastAsia="zh-CN"/>
        </w:rPr>
        <w:t>慧</w:t>
      </w:r>
      <w:r>
        <w:rPr>
          <w:rFonts w:hint="eastAsia" w:ascii="Times New Roman" w:hAnsi="Times New Roman" w:eastAsia="仿宋_GB2312" w:cs="Times New Roman"/>
          <w:kern w:val="0"/>
          <w:sz w:val="32"/>
          <w:szCs w:val="32"/>
        </w:rPr>
        <w:t>敏、李伟、张孝天</w:t>
      </w:r>
      <w:r>
        <w:rPr>
          <w:rFonts w:hint="eastAsia" w:ascii="Times New Roman" w:hAnsi="Times New Roman" w:eastAsia="仿宋_GB2312" w:cs="Times New Roman"/>
          <w:kern w:val="0"/>
          <w:sz w:val="32"/>
          <w:szCs w:val="32"/>
          <w:lang w:val="en-US" w:eastAsia="zh-CN"/>
        </w:rPr>
        <w:t>和</w:t>
      </w:r>
      <w:r>
        <w:rPr>
          <w:rFonts w:hint="eastAsia" w:ascii="Times New Roman" w:hAnsi="Times New Roman" w:eastAsia="仿宋_GB2312" w:cs="Times New Roman"/>
          <w:kern w:val="0"/>
          <w:sz w:val="32"/>
          <w:szCs w:val="32"/>
        </w:rPr>
        <w:t>邵洋等代表，围绕高标准农田管护、城市噪音监管、学生心理健康服务、养老机构消防安全管理、卫生食品安全管理</w:t>
      </w:r>
      <w:r>
        <w:rPr>
          <w:rFonts w:hint="eastAsia" w:ascii="Times New Roman" w:hAnsi="Times New Roman" w:eastAsia="仿宋_GB2312" w:cs="Times New Roman"/>
          <w:kern w:val="0"/>
          <w:sz w:val="32"/>
          <w:szCs w:val="32"/>
          <w:lang w:val="en-US" w:eastAsia="zh-CN"/>
        </w:rPr>
        <w:t>和</w:t>
      </w:r>
      <w:r>
        <w:rPr>
          <w:rFonts w:hint="eastAsia" w:ascii="Times New Roman" w:hAnsi="Times New Roman" w:eastAsia="仿宋_GB2312" w:cs="Times New Roman"/>
          <w:kern w:val="0"/>
          <w:sz w:val="32"/>
          <w:szCs w:val="32"/>
        </w:rPr>
        <w:t>业委会培训等</w:t>
      </w:r>
      <w:r>
        <w:rPr>
          <w:rFonts w:hint="eastAsia" w:ascii="Times New Roman" w:hAnsi="Times New Roman" w:eastAsia="仿宋_GB2312" w:cs="Times New Roman"/>
          <w:kern w:val="0"/>
          <w:sz w:val="32"/>
          <w:szCs w:val="32"/>
          <w:lang w:val="en-US" w:eastAsia="zh-CN"/>
        </w:rPr>
        <w:t>群众急难愁盼问题</w:t>
      </w:r>
      <w:r>
        <w:rPr>
          <w:rFonts w:hint="eastAsia" w:ascii="Times New Roman" w:hAnsi="Times New Roman" w:eastAsia="仿宋_GB2312" w:cs="Times New Roman"/>
          <w:kern w:val="0"/>
          <w:sz w:val="32"/>
          <w:szCs w:val="32"/>
        </w:rPr>
        <w:t>提出了一批高质量建议。</w:t>
      </w:r>
      <w:r>
        <w:rPr>
          <w:rFonts w:hint="eastAsia" w:ascii="Times New Roman" w:hAnsi="Times New Roman" w:eastAsia="仿宋_GB2312" w:cs="Times New Roman"/>
          <w:b/>
          <w:bCs/>
          <w:kern w:val="0"/>
          <w:sz w:val="32"/>
          <w:szCs w:val="32"/>
        </w:rPr>
        <w:t>注重建议办理高质量。</w:t>
      </w:r>
      <w:r>
        <w:rPr>
          <w:rFonts w:hint="eastAsia" w:ascii="Times New Roman" w:hAnsi="Times New Roman" w:eastAsia="仿宋_GB2312" w:cs="Times New Roman"/>
          <w:kern w:val="0"/>
          <w:sz w:val="32"/>
          <w:szCs w:val="32"/>
        </w:rPr>
        <w:t>区委、区政府主要领导亲自领衔督办重点建议。常委会会议专题听取代表建议办理情况报告，强力推进建议办理进程。农业、环保、教育、民政、市监、</w:t>
      </w:r>
      <w:r>
        <w:rPr>
          <w:rFonts w:hint="eastAsia" w:ascii="Times New Roman" w:hAnsi="Times New Roman" w:eastAsia="仿宋_GB2312" w:cs="Times New Roman"/>
          <w:kern w:val="0"/>
          <w:sz w:val="32"/>
          <w:szCs w:val="32"/>
          <w:lang w:val="en-US" w:eastAsia="zh-CN"/>
        </w:rPr>
        <w:t>城管和</w:t>
      </w:r>
      <w:r>
        <w:rPr>
          <w:rFonts w:hint="eastAsia" w:ascii="Times New Roman" w:hAnsi="Times New Roman" w:eastAsia="仿宋_GB2312" w:cs="Times New Roman"/>
          <w:kern w:val="0"/>
          <w:sz w:val="32"/>
          <w:szCs w:val="32"/>
        </w:rPr>
        <w:t>物管等部门落实办前联系对接、办中及时</w:t>
      </w:r>
      <w:r>
        <w:rPr>
          <w:rFonts w:hint="eastAsia" w:ascii="Times New Roman" w:hAnsi="Times New Roman" w:eastAsia="仿宋_GB2312" w:cs="Times New Roman"/>
          <w:kern w:val="0"/>
          <w:sz w:val="32"/>
          <w:szCs w:val="32"/>
          <w:lang w:val="en-US" w:eastAsia="zh-CN"/>
        </w:rPr>
        <w:t>跟进</w:t>
      </w:r>
      <w:r>
        <w:rPr>
          <w:rFonts w:hint="eastAsia" w:ascii="Times New Roman" w:hAnsi="Times New Roman" w:eastAsia="仿宋_GB2312" w:cs="Times New Roman"/>
          <w:kern w:val="0"/>
          <w:sz w:val="32"/>
          <w:szCs w:val="32"/>
        </w:rPr>
        <w:t>、办后征求意见。</w:t>
      </w:r>
      <w:r>
        <w:rPr>
          <w:rFonts w:hint="eastAsia" w:ascii="Times New Roman" w:hAnsi="Times New Roman" w:eastAsia="仿宋_GB2312" w:cs="Times New Roman"/>
          <w:b/>
          <w:bCs/>
          <w:kern w:val="0"/>
          <w:sz w:val="32"/>
          <w:szCs w:val="32"/>
        </w:rPr>
        <w:t>注重建议效果高质量。</w:t>
      </w:r>
      <w:r>
        <w:rPr>
          <w:rFonts w:hint="eastAsia" w:ascii="Times New Roman" w:hAnsi="Times New Roman" w:eastAsia="仿宋_GB2312" w:cs="Times New Roman"/>
          <w:kern w:val="0"/>
          <w:sz w:val="32"/>
          <w:szCs w:val="32"/>
        </w:rPr>
        <w:t>提升建议</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提、办、督、评</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工作水平，推动从答复到落实、解释到解决的转变。</w:t>
      </w:r>
      <w:r>
        <w:rPr>
          <w:rFonts w:hint="eastAsia" w:ascii="Times New Roman" w:hAnsi="Times New Roman" w:eastAsia="仿宋_GB2312" w:cs="Times New Roman"/>
          <w:spacing w:val="-6"/>
          <w:kern w:val="0"/>
          <w:sz w:val="32"/>
          <w:szCs w:val="32"/>
        </w:rPr>
        <w:t>区十八届人大五次会议以来，由</w:t>
      </w:r>
      <w:r>
        <w:rPr>
          <w:rFonts w:hint="eastAsia" w:ascii="Times New Roman" w:hAnsi="Times New Roman" w:eastAsia="仿宋_GB2312" w:cs="Times New Roman"/>
          <w:spacing w:val="-6"/>
          <w:kern w:val="0"/>
          <w:sz w:val="32"/>
          <w:szCs w:val="32"/>
          <w:lang w:eastAsia="zh-CN"/>
        </w:rPr>
        <w:t>“</w:t>
      </w:r>
      <w:r>
        <w:rPr>
          <w:rFonts w:hint="eastAsia" w:ascii="Times New Roman" w:hAnsi="Times New Roman" w:eastAsia="仿宋_GB2312" w:cs="Times New Roman"/>
          <w:spacing w:val="-6"/>
          <w:kern w:val="0"/>
          <w:sz w:val="32"/>
          <w:szCs w:val="32"/>
          <w:lang w:val="en-US" w:eastAsia="zh-CN"/>
        </w:rPr>
        <w:t>一府两院</w:t>
      </w:r>
      <w:r>
        <w:rPr>
          <w:rFonts w:hint="eastAsia" w:ascii="Times New Roman" w:hAnsi="Times New Roman" w:eastAsia="仿宋_GB2312" w:cs="Times New Roman"/>
          <w:spacing w:val="-6"/>
          <w:kern w:val="0"/>
          <w:sz w:val="32"/>
          <w:szCs w:val="32"/>
          <w:lang w:eastAsia="zh-CN"/>
        </w:rPr>
        <w:t>”</w:t>
      </w:r>
      <w:r>
        <w:rPr>
          <w:rFonts w:hint="eastAsia" w:ascii="Times New Roman" w:hAnsi="Times New Roman" w:eastAsia="仿宋_GB2312" w:cs="Times New Roman"/>
          <w:spacing w:val="-6"/>
          <w:kern w:val="0"/>
          <w:sz w:val="32"/>
          <w:szCs w:val="32"/>
          <w:lang w:val="en-US" w:eastAsia="zh-CN"/>
        </w:rPr>
        <w:t>及</w:t>
      </w:r>
      <w:r>
        <w:rPr>
          <w:rFonts w:hint="eastAsia" w:ascii="Times New Roman" w:hAnsi="Times New Roman" w:eastAsia="仿宋_GB2312" w:cs="Times New Roman"/>
          <w:spacing w:val="-6"/>
          <w:kern w:val="0"/>
          <w:sz w:val="32"/>
          <w:szCs w:val="32"/>
        </w:rPr>
        <w:t>相关部门办理的</w:t>
      </w:r>
      <w:r>
        <w:rPr>
          <w:rFonts w:hint="eastAsia" w:ascii="Times New Roman" w:hAnsi="Times New Roman" w:eastAsia="仿宋_GB2312" w:cs="Times New Roman"/>
          <w:spacing w:val="-6"/>
          <w:kern w:val="0"/>
          <w:sz w:val="32"/>
          <w:szCs w:val="32"/>
          <w:lang w:val="en-US" w:eastAsia="zh-CN"/>
        </w:rPr>
        <w:t>48</w:t>
      </w:r>
      <w:r>
        <w:rPr>
          <w:rFonts w:hint="eastAsia" w:ascii="Times New Roman" w:hAnsi="Times New Roman" w:eastAsia="仿宋_GB2312" w:cs="Times New Roman"/>
          <w:spacing w:val="-6"/>
          <w:kern w:val="0"/>
          <w:sz w:val="32"/>
          <w:szCs w:val="32"/>
        </w:rPr>
        <w:t>件</w:t>
      </w:r>
      <w:r>
        <w:rPr>
          <w:rFonts w:hint="eastAsia" w:ascii="Times New Roman" w:hAnsi="Times New Roman" w:eastAsia="仿宋_GB2312" w:cs="Times New Roman"/>
          <w:spacing w:val="-6"/>
          <w:kern w:val="0"/>
          <w:sz w:val="32"/>
          <w:szCs w:val="32"/>
          <w:lang w:val="en-US" w:eastAsia="zh-CN"/>
        </w:rPr>
        <w:t>代表</w:t>
      </w:r>
      <w:r>
        <w:rPr>
          <w:rFonts w:hint="eastAsia" w:ascii="Times New Roman" w:hAnsi="Times New Roman" w:eastAsia="仿宋_GB2312" w:cs="Times New Roman"/>
          <w:spacing w:val="-6"/>
          <w:kern w:val="0"/>
          <w:sz w:val="32"/>
          <w:szCs w:val="32"/>
        </w:rPr>
        <w:t>建议全部办复</w:t>
      </w:r>
      <w:r>
        <w:rPr>
          <w:rFonts w:hint="eastAsia" w:ascii="Times New Roman" w:hAnsi="Times New Roman" w:eastAsia="仿宋_GB2312" w:cs="Times New Roman"/>
          <w:spacing w:val="-6"/>
          <w:kern w:val="0"/>
          <w:sz w:val="32"/>
          <w:szCs w:val="32"/>
          <w:lang w:eastAsia="zh-CN"/>
        </w:rPr>
        <w:t>，</w:t>
      </w:r>
      <w:r>
        <w:rPr>
          <w:rFonts w:hint="eastAsia" w:ascii="Times New Roman" w:hAnsi="Times New Roman" w:eastAsia="仿宋_GB2312" w:cs="Times New Roman"/>
          <w:spacing w:val="-6"/>
          <w:kern w:val="0"/>
          <w:sz w:val="32"/>
          <w:szCs w:val="32"/>
          <w:lang w:val="en-US" w:eastAsia="zh-CN"/>
        </w:rPr>
        <w:t>代表见面率、满意率100%，问题解决率63%。</w:t>
      </w:r>
    </w:p>
    <w:p w14:paraId="263BE13F">
      <w:pPr>
        <w:widowControl/>
        <w:spacing w:line="576" w:lineRule="exact"/>
        <w:ind w:firstLine="640"/>
        <w:rPr>
          <w:rFonts w:eastAsia="楷体" w:cs="Times New Roman"/>
          <w:color w:val="222222"/>
          <w:kern w:val="0"/>
          <w:sz w:val="32"/>
          <w:szCs w:val="32"/>
        </w:rPr>
      </w:pPr>
      <w:r>
        <w:rPr>
          <w:rFonts w:eastAsia="楷体" w:cs="Times New Roman"/>
          <w:color w:val="222222"/>
          <w:kern w:val="0"/>
          <w:sz w:val="32"/>
          <w:szCs w:val="32"/>
        </w:rPr>
        <w:t>（二）产生的主要效益情况</w:t>
      </w:r>
    </w:p>
    <w:p w14:paraId="15ECF5EA">
      <w:pPr>
        <w:keepNext w:val="0"/>
        <w:keepLines w:val="0"/>
        <w:pageBreakBefore w:val="0"/>
        <w:kinsoku/>
        <w:wordWrap/>
        <w:topLinePunct w:val="0"/>
        <w:bidi w:val="0"/>
        <w:adjustRightInd/>
        <w:snapToGrid/>
        <w:spacing w:line="610" w:lineRule="exact"/>
        <w:ind w:left="0" w:firstLine="643" w:firstLineChars="200"/>
        <w:textAlignment w:val="auto"/>
        <w:outlineLvl w:val="9"/>
        <w:rPr>
          <w:rFonts w:eastAsia="仿宋" w:cs="Times New Roman"/>
          <w:sz w:val="32"/>
          <w:szCs w:val="32"/>
        </w:rPr>
      </w:pPr>
      <w:r>
        <w:rPr>
          <w:rFonts w:eastAsia="仿宋" w:cs="Times New Roman"/>
          <w:b/>
          <w:color w:val="222222"/>
          <w:kern w:val="0"/>
          <w:sz w:val="32"/>
          <w:szCs w:val="32"/>
        </w:rPr>
        <w:t>1.</w:t>
      </w:r>
      <w:r>
        <w:rPr>
          <w:rFonts w:eastAsia="仿宋" w:cs="Times New Roman"/>
          <w:b/>
          <w:sz w:val="32"/>
          <w:szCs w:val="32"/>
        </w:rPr>
        <w:t>经济效益情况</w:t>
      </w:r>
      <w:r>
        <w:rPr>
          <w:rFonts w:eastAsia="仿宋" w:cs="Times New Roman"/>
          <w:b/>
          <w:color w:val="222222"/>
          <w:kern w:val="0"/>
          <w:sz w:val="32"/>
          <w:szCs w:val="32"/>
        </w:rPr>
        <w:t>：</w:t>
      </w:r>
      <w:r>
        <w:rPr>
          <w:rFonts w:hint="eastAsia" w:ascii="Times New Roman" w:hAnsi="Times New Roman" w:eastAsia="楷体_GB2312" w:cs="Times New Roman"/>
          <w:sz w:val="32"/>
          <w:szCs w:val="32"/>
        </w:rPr>
        <w:t>助推经济发展持续向好。</w:t>
      </w:r>
      <w:r>
        <w:rPr>
          <w:rFonts w:hint="eastAsia" w:ascii="Times New Roman" w:hAnsi="Times New Roman" w:eastAsia="仿宋_GB2312" w:cs="Times New Roman"/>
          <w:b/>
          <w:bCs/>
          <w:kern w:val="0"/>
          <w:sz w:val="32"/>
          <w:szCs w:val="32"/>
        </w:rPr>
        <w:t>围绕财政资金提质增效，</w:t>
      </w:r>
      <w:r>
        <w:rPr>
          <w:rFonts w:hint="eastAsia" w:ascii="Times New Roman" w:hAnsi="Times New Roman" w:eastAsia="仿宋_GB2312" w:cs="Times New Roman"/>
          <w:kern w:val="0"/>
          <w:sz w:val="32"/>
          <w:szCs w:val="32"/>
        </w:rPr>
        <w:t>听取和审议</w:t>
      </w:r>
      <w:r>
        <w:rPr>
          <w:rFonts w:hint="eastAsia" w:ascii="Times New Roman" w:hAnsi="Times New Roman" w:eastAsia="仿宋_GB2312" w:cs="Times New Roman"/>
          <w:kern w:val="0"/>
          <w:sz w:val="32"/>
          <w:szCs w:val="32"/>
          <w:lang w:val="en-US" w:eastAsia="zh-CN"/>
        </w:rPr>
        <w:t>财政</w:t>
      </w:r>
      <w:r>
        <w:rPr>
          <w:rFonts w:hint="eastAsia" w:ascii="Times New Roman" w:hAnsi="Times New Roman" w:eastAsia="仿宋_GB2312" w:cs="Times New Roman"/>
          <w:kern w:val="0"/>
          <w:sz w:val="32"/>
          <w:szCs w:val="32"/>
        </w:rPr>
        <w:t>预算的执行、调整和绩效管理等</w:t>
      </w:r>
      <w:r>
        <w:rPr>
          <w:rFonts w:hint="eastAsia" w:ascii="Times New Roman" w:hAnsi="Times New Roman" w:eastAsia="仿宋_GB2312" w:cs="Times New Roman"/>
          <w:kern w:val="0"/>
          <w:sz w:val="32"/>
          <w:szCs w:val="32"/>
          <w:lang w:val="en-US" w:eastAsia="zh-CN"/>
        </w:rPr>
        <w:t>工作</w:t>
      </w:r>
      <w:r>
        <w:rPr>
          <w:rFonts w:hint="eastAsia" w:ascii="Times New Roman" w:hAnsi="Times New Roman" w:eastAsia="仿宋_GB2312" w:cs="Times New Roman"/>
          <w:kern w:val="0"/>
          <w:sz w:val="32"/>
          <w:szCs w:val="32"/>
        </w:rPr>
        <w:t>情况报告，审查批准区级财政决算、预算调整方案，依法规范政府收支行为。听取和审议预算执行和其他财政收支审计查出问题整改与审议意见研究处理情况报告，推动15家单位整改问题36个。</w:t>
      </w:r>
      <w:r>
        <w:rPr>
          <w:rFonts w:hint="eastAsia" w:ascii="Times New Roman" w:hAnsi="Times New Roman" w:eastAsia="仿宋_GB2312" w:cs="Times New Roman"/>
          <w:b/>
          <w:bCs/>
          <w:kern w:val="0"/>
          <w:sz w:val="32"/>
          <w:szCs w:val="32"/>
        </w:rPr>
        <w:t>围绕防范化解重大风险，</w:t>
      </w:r>
      <w:r>
        <w:rPr>
          <w:rFonts w:hint="eastAsia" w:ascii="Times New Roman" w:hAnsi="Times New Roman" w:eastAsia="仿宋_GB2312" w:cs="Times New Roman"/>
          <w:kern w:val="0"/>
          <w:sz w:val="32"/>
          <w:szCs w:val="32"/>
        </w:rPr>
        <w:t>听取和审议国有资产管理</w:t>
      </w:r>
      <w:r>
        <w:rPr>
          <w:rFonts w:hint="eastAsia" w:ascii="Times New Roman" w:hAnsi="Times New Roman" w:eastAsia="仿宋_GB2312" w:cs="Times New Roman"/>
          <w:kern w:val="0"/>
          <w:sz w:val="32"/>
          <w:szCs w:val="32"/>
          <w:lang w:val="en-US" w:eastAsia="zh-CN"/>
        </w:rPr>
        <w:t>工作</w:t>
      </w:r>
      <w:r>
        <w:rPr>
          <w:rFonts w:hint="eastAsia" w:ascii="Times New Roman" w:hAnsi="Times New Roman" w:eastAsia="仿宋_GB2312" w:cs="Times New Roman"/>
          <w:kern w:val="0"/>
          <w:sz w:val="32"/>
          <w:szCs w:val="32"/>
        </w:rPr>
        <w:t>情况报告，提出完善管理体制、盘活闲置资产、推进国企改革等建议，促进国有资产保值增值。听取和审议政府债务管理</w:t>
      </w:r>
      <w:r>
        <w:rPr>
          <w:rFonts w:hint="eastAsia" w:ascii="Times New Roman" w:hAnsi="Times New Roman" w:eastAsia="仿宋_GB2312" w:cs="Times New Roman"/>
          <w:kern w:val="0"/>
          <w:sz w:val="32"/>
          <w:szCs w:val="32"/>
          <w:lang w:val="en-US" w:eastAsia="zh-CN"/>
        </w:rPr>
        <w:t>工作</w:t>
      </w:r>
      <w:r>
        <w:rPr>
          <w:rFonts w:hint="eastAsia" w:ascii="Times New Roman" w:hAnsi="Times New Roman" w:eastAsia="仿宋_GB2312" w:cs="Times New Roman"/>
          <w:kern w:val="0"/>
          <w:sz w:val="32"/>
          <w:szCs w:val="32"/>
        </w:rPr>
        <w:t>情况报告，提出提升综合财力、加强债务管理、严控债务风险等建议。</w:t>
      </w:r>
      <w:r>
        <w:rPr>
          <w:rFonts w:hint="eastAsia" w:ascii="Times New Roman" w:hAnsi="Times New Roman" w:eastAsia="仿宋_GB2312" w:cs="Times New Roman"/>
          <w:b/>
          <w:bCs/>
          <w:kern w:val="0"/>
          <w:sz w:val="32"/>
          <w:szCs w:val="32"/>
        </w:rPr>
        <w:t>围绕政策落实与产业升级，</w:t>
      </w:r>
      <w:r>
        <w:rPr>
          <w:rFonts w:hint="eastAsia" w:ascii="Times New Roman" w:hAnsi="Times New Roman" w:eastAsia="仿宋_GB2312" w:cs="Times New Roman"/>
          <w:kern w:val="0"/>
          <w:sz w:val="32"/>
          <w:szCs w:val="32"/>
        </w:rPr>
        <w:t>听取和审议国民经济和社会发展计划执行情况报告，跟踪督办中央一揽子增量政策及省、市重大经济政策落实情况，推动重大决策部署落地见效。依法评议优化营商环境工作，明确重点评议内容28</w:t>
      </w:r>
      <w:r>
        <w:rPr>
          <w:rFonts w:hint="eastAsia" w:ascii="Times New Roman" w:hAnsi="Times New Roman" w:eastAsia="仿宋_GB2312" w:cs="Times New Roman"/>
          <w:kern w:val="0"/>
          <w:sz w:val="32"/>
          <w:szCs w:val="32"/>
          <w:lang w:val="en-US" w:eastAsia="zh-CN"/>
        </w:rPr>
        <w:t>项</w:t>
      </w:r>
      <w:r>
        <w:rPr>
          <w:rFonts w:hint="eastAsia" w:ascii="Times New Roman" w:hAnsi="Times New Roman" w:eastAsia="仿宋_GB2312" w:cs="Times New Roman"/>
          <w:kern w:val="0"/>
          <w:sz w:val="32"/>
          <w:szCs w:val="32"/>
        </w:rPr>
        <w:t>，向31家单位交办问题105个，整改率100%。视察</w:t>
      </w:r>
      <w:r>
        <w:rPr>
          <w:rFonts w:hint="eastAsia" w:ascii="Times New Roman" w:hAnsi="Times New Roman" w:eastAsia="仿宋_GB2312" w:cs="Times New Roman"/>
          <w:kern w:val="0"/>
          <w:sz w:val="32"/>
          <w:szCs w:val="32"/>
          <w:lang w:val="en-US" w:eastAsia="zh-CN"/>
        </w:rPr>
        <w:t>调研</w:t>
      </w:r>
      <w:r>
        <w:rPr>
          <w:rFonts w:hint="eastAsia" w:ascii="Times New Roman" w:hAnsi="Times New Roman" w:eastAsia="仿宋_GB2312" w:cs="Times New Roman"/>
          <w:kern w:val="0"/>
          <w:sz w:val="32"/>
          <w:szCs w:val="32"/>
        </w:rPr>
        <w:t>消费促进</w:t>
      </w:r>
      <w:r>
        <w:rPr>
          <w:rFonts w:hint="eastAsia" w:ascii="Times New Roman" w:hAnsi="Times New Roman" w:eastAsia="仿宋_GB2312" w:cs="Times New Roman"/>
          <w:kern w:val="0"/>
          <w:sz w:val="32"/>
          <w:szCs w:val="32"/>
          <w:lang w:val="en-US" w:eastAsia="zh-CN"/>
        </w:rPr>
        <w:t>工作</w:t>
      </w:r>
      <w:r>
        <w:rPr>
          <w:rFonts w:hint="eastAsia" w:ascii="Times New Roman" w:hAnsi="Times New Roman" w:eastAsia="仿宋_GB2312" w:cs="Times New Roman"/>
          <w:kern w:val="0"/>
          <w:sz w:val="32"/>
          <w:szCs w:val="32"/>
        </w:rPr>
        <w:t>情况，提出优化服务供给、空间布局、激励政策等建议，</w:t>
      </w:r>
      <w:r>
        <w:rPr>
          <w:rFonts w:hint="eastAsia" w:ascii="Times New Roman" w:hAnsi="Times New Roman" w:eastAsia="仿宋_GB2312" w:cs="Times New Roman"/>
          <w:kern w:val="0"/>
          <w:sz w:val="32"/>
          <w:szCs w:val="32"/>
          <w:lang w:val="en-US" w:eastAsia="zh-CN"/>
        </w:rPr>
        <w:t>助力</w:t>
      </w:r>
      <w:r>
        <w:rPr>
          <w:rFonts w:hint="eastAsia" w:ascii="Times New Roman" w:hAnsi="Times New Roman" w:eastAsia="仿宋_GB2312" w:cs="Times New Roman"/>
          <w:kern w:val="0"/>
          <w:sz w:val="32"/>
          <w:szCs w:val="32"/>
        </w:rPr>
        <w:t>打造区域消费中心。</w:t>
      </w:r>
    </w:p>
    <w:p w14:paraId="344161C1">
      <w:pPr>
        <w:keepNext w:val="0"/>
        <w:keepLines w:val="0"/>
        <w:pageBreakBefore w:val="0"/>
        <w:kinsoku/>
        <w:wordWrap/>
        <w:topLinePunct w:val="0"/>
        <w:bidi w:val="0"/>
        <w:adjustRightInd/>
        <w:snapToGrid/>
        <w:spacing w:line="610" w:lineRule="exact"/>
        <w:ind w:left="0" w:firstLine="643" w:firstLineChars="200"/>
        <w:textAlignment w:val="auto"/>
        <w:outlineLvl w:val="9"/>
        <w:rPr>
          <w:rFonts w:ascii="Times New Roman" w:hAnsi="Times New Roman" w:eastAsia="楷体_GB2312" w:cs="Times New Roman"/>
          <w:sz w:val="32"/>
          <w:szCs w:val="32"/>
        </w:rPr>
      </w:pPr>
      <w:r>
        <w:rPr>
          <w:rFonts w:eastAsia="仿宋" w:cs="Times New Roman"/>
          <w:b/>
          <w:kern w:val="0"/>
          <w:sz w:val="32"/>
          <w:szCs w:val="32"/>
        </w:rPr>
        <w:t>2.社会效益情况：</w:t>
      </w:r>
      <w:r>
        <w:rPr>
          <w:rFonts w:hint="eastAsia" w:ascii="Times New Roman" w:hAnsi="Times New Roman" w:eastAsia="楷体_GB2312" w:cs="Times New Roman"/>
          <w:sz w:val="32"/>
          <w:szCs w:val="32"/>
        </w:rPr>
        <w:t>助推法治环境持续优化。</w:t>
      </w:r>
      <w:r>
        <w:rPr>
          <w:rFonts w:hint="eastAsia" w:ascii="Times New Roman" w:hAnsi="Times New Roman" w:eastAsia="仿宋_GB2312" w:cs="Times New Roman"/>
          <w:b/>
          <w:bCs/>
          <w:kern w:val="0"/>
          <w:sz w:val="32"/>
          <w:szCs w:val="32"/>
        </w:rPr>
        <w:t>聚力提升治理效能，</w:t>
      </w:r>
      <w:r>
        <w:rPr>
          <w:rFonts w:hint="eastAsia" w:ascii="Times New Roman" w:hAnsi="Times New Roman" w:eastAsia="仿宋_GB2312" w:cs="Times New Roman"/>
          <w:kern w:val="0"/>
          <w:sz w:val="32"/>
          <w:szCs w:val="32"/>
        </w:rPr>
        <w:t>首次开展法治政府建设专项监督，对</w:t>
      </w:r>
      <w:r>
        <w:rPr>
          <w:rFonts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个政府组成部门</w:t>
      </w:r>
      <w:r>
        <w:rPr>
          <w:rFonts w:hint="eastAsia" w:ascii="Times New Roman" w:hAnsi="Times New Roman" w:eastAsia="仿宋_GB2312" w:cs="Times New Roman"/>
          <w:kern w:val="0"/>
          <w:sz w:val="32"/>
          <w:szCs w:val="32"/>
        </w:rPr>
        <w:t>进行</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法治体检</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助推</w:t>
      </w:r>
      <w:r>
        <w:rPr>
          <w:rFonts w:hint="eastAsia" w:ascii="Times New Roman" w:hAnsi="Times New Roman" w:eastAsia="仿宋_GB2312" w:cs="Times New Roman"/>
          <w:kern w:val="0"/>
          <w:sz w:val="32"/>
          <w:szCs w:val="32"/>
        </w:rPr>
        <w:t>擦亮</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法治武陵</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城市名片。健全规范性文件备案审查机制，审议通过区乡两级规范性文件备案审查办法和工作规程，全年依法备案审查区乡两级规范性文件7件，从源头上保障法治统一。</w:t>
      </w:r>
      <w:r>
        <w:rPr>
          <w:rFonts w:hint="eastAsia" w:ascii="Times New Roman" w:hAnsi="Times New Roman" w:eastAsia="仿宋_GB2312" w:cs="Times New Roman"/>
          <w:b/>
          <w:bCs/>
          <w:kern w:val="0"/>
          <w:sz w:val="32"/>
          <w:szCs w:val="32"/>
        </w:rPr>
        <w:t>聚力维护群众权益，</w:t>
      </w:r>
      <w:r>
        <w:rPr>
          <w:rFonts w:hint="eastAsia" w:ascii="Times New Roman" w:hAnsi="Times New Roman" w:eastAsia="仿宋_GB2312" w:cs="Times New Roman"/>
          <w:kern w:val="0"/>
          <w:sz w:val="32"/>
          <w:szCs w:val="32"/>
        </w:rPr>
        <w:t>首次听取整治群众身边不正之风和腐败问题</w:t>
      </w:r>
      <w:r>
        <w:rPr>
          <w:rFonts w:hint="eastAsia" w:ascii="Times New Roman" w:hAnsi="Times New Roman" w:eastAsia="仿宋_GB2312" w:cs="Times New Roman"/>
          <w:kern w:val="0"/>
          <w:sz w:val="32"/>
          <w:szCs w:val="32"/>
          <w:lang w:val="en-US" w:eastAsia="zh-CN"/>
        </w:rPr>
        <w:t>专项</w:t>
      </w:r>
      <w:r>
        <w:rPr>
          <w:rFonts w:hint="eastAsia" w:ascii="Times New Roman" w:hAnsi="Times New Roman" w:eastAsia="仿宋_GB2312" w:cs="Times New Roman"/>
          <w:kern w:val="0"/>
          <w:sz w:val="32"/>
          <w:szCs w:val="32"/>
        </w:rPr>
        <w:t>工作情况报告，推动监察监督向基层延伸。</w:t>
      </w:r>
      <w:r>
        <w:rPr>
          <w:rFonts w:hint="eastAsia" w:ascii="Times New Roman" w:hAnsi="Times New Roman" w:eastAsia="仿宋_GB2312" w:cs="Times New Roman"/>
          <w:kern w:val="0"/>
          <w:sz w:val="32"/>
          <w:szCs w:val="32"/>
          <w:lang w:val="en-US" w:eastAsia="zh-CN"/>
        </w:rPr>
        <w:t>继续</w:t>
      </w:r>
      <w:r>
        <w:rPr>
          <w:rFonts w:hint="eastAsia" w:ascii="Times New Roman" w:hAnsi="Times New Roman" w:eastAsia="仿宋_GB2312" w:cs="Times New Roman"/>
          <w:kern w:val="0"/>
          <w:sz w:val="32"/>
          <w:szCs w:val="32"/>
        </w:rPr>
        <w:t>组织开展</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两官</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履职评议，评议法官9名、检察官10名，评查案件105件，促进提升司法公信力。</w:t>
      </w:r>
      <w:r>
        <w:rPr>
          <w:rFonts w:hint="eastAsia" w:ascii="Times New Roman" w:hAnsi="Times New Roman" w:eastAsia="仿宋_GB2312" w:cs="Times New Roman"/>
          <w:b/>
          <w:bCs/>
          <w:kern w:val="0"/>
          <w:sz w:val="32"/>
          <w:szCs w:val="32"/>
        </w:rPr>
        <w:t>聚力统筹发展和安全，</w:t>
      </w:r>
      <w:r>
        <w:rPr>
          <w:rFonts w:hint="eastAsia" w:ascii="Times New Roman" w:hAnsi="Times New Roman" w:eastAsia="仿宋_GB2312" w:cs="Times New Roman"/>
          <w:kern w:val="0"/>
          <w:sz w:val="32"/>
          <w:szCs w:val="32"/>
        </w:rPr>
        <w:t>围绕中小企业发展、安全生产、大气污染防治等相关法律法规贯彻实施情况，组织开展执法检查，以法治力量护航武陵发展行稳致远。积极回应群众合理诉求，修订人大机关信访工作办法，全年受理群众来信来访32件37人次，推动一批涉法涉诉疑难问题得到重视和解决。</w:t>
      </w:r>
    </w:p>
    <w:p w14:paraId="55CBAAB2">
      <w:pPr>
        <w:keepNext w:val="0"/>
        <w:keepLines w:val="0"/>
        <w:pageBreakBefore w:val="0"/>
        <w:widowControl/>
        <w:kinsoku/>
        <w:wordWrap/>
        <w:topLinePunct w:val="0"/>
        <w:bidi w:val="0"/>
        <w:adjustRightInd/>
        <w:snapToGrid/>
        <w:spacing w:line="610" w:lineRule="exact"/>
        <w:ind w:left="0" w:firstLine="640" w:firstLineChars="200"/>
        <w:jc w:val="left"/>
        <w:textAlignment w:val="auto"/>
        <w:outlineLvl w:val="9"/>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助推民生福祉持续改善。</w:t>
      </w:r>
      <w:r>
        <w:rPr>
          <w:rFonts w:hint="eastAsia" w:ascii="Times New Roman" w:hAnsi="Times New Roman" w:eastAsia="仿宋_GB2312" w:cs="Times New Roman"/>
          <w:b/>
          <w:bCs/>
          <w:kern w:val="0"/>
          <w:sz w:val="32"/>
          <w:szCs w:val="32"/>
        </w:rPr>
        <w:t>关注优质教育，</w:t>
      </w:r>
      <w:r>
        <w:rPr>
          <w:rFonts w:hint="eastAsia" w:ascii="Times New Roman" w:hAnsi="Times New Roman" w:eastAsia="仿宋_GB2312" w:cs="Times New Roman"/>
          <w:kern w:val="0"/>
          <w:sz w:val="32"/>
          <w:szCs w:val="32"/>
        </w:rPr>
        <w:t>听取和审议校园安全治理工作情况报告，推动建强专业队伍、织密防护网络、凝聚工作合力。视察未成年人保护工作情况，推动强化未成年人合法权益保障体制机制建设。</w:t>
      </w:r>
      <w:r>
        <w:rPr>
          <w:rFonts w:hint="eastAsia" w:ascii="Times New Roman" w:hAnsi="Times New Roman" w:eastAsia="仿宋_GB2312" w:cs="Times New Roman"/>
          <w:b/>
          <w:bCs/>
          <w:kern w:val="0"/>
          <w:sz w:val="32"/>
          <w:szCs w:val="32"/>
        </w:rPr>
        <w:t>关注人口发展，</w:t>
      </w:r>
      <w:r>
        <w:rPr>
          <w:rFonts w:hint="eastAsia" w:ascii="Times New Roman" w:hAnsi="Times New Roman" w:eastAsia="仿宋_GB2312" w:cs="Times New Roman"/>
          <w:kern w:val="0"/>
          <w:sz w:val="32"/>
          <w:szCs w:val="32"/>
        </w:rPr>
        <w:t>调研积极生育支持措施完善和落实工作情况，推动构建婚育、养育、教育全链条政策支持体系，降低生育、养育、教育成本。</w:t>
      </w:r>
      <w:r>
        <w:rPr>
          <w:rFonts w:hint="eastAsia" w:ascii="Times New Roman" w:hAnsi="Times New Roman" w:eastAsia="仿宋_GB2312" w:cs="Times New Roman"/>
          <w:b/>
          <w:bCs/>
          <w:kern w:val="0"/>
          <w:sz w:val="32"/>
          <w:szCs w:val="32"/>
        </w:rPr>
        <w:t>关注就业保障，</w:t>
      </w:r>
      <w:r>
        <w:rPr>
          <w:rFonts w:hint="eastAsia" w:ascii="Times New Roman" w:hAnsi="Times New Roman" w:eastAsia="仿宋_GB2312" w:cs="Times New Roman"/>
          <w:kern w:val="0"/>
          <w:sz w:val="32"/>
          <w:szCs w:val="32"/>
        </w:rPr>
        <w:t>听取和审议灵活就业和新就业形态劳动者权益保障情况报告，推动压实企业责任、优化公共服务、深化协同治理，切实维护劳动者合法权益。</w:t>
      </w:r>
      <w:r>
        <w:rPr>
          <w:rFonts w:hint="eastAsia" w:ascii="Times New Roman" w:hAnsi="Times New Roman" w:eastAsia="仿宋_GB2312" w:cs="Times New Roman"/>
          <w:b/>
          <w:bCs/>
          <w:kern w:val="0"/>
          <w:sz w:val="32"/>
          <w:szCs w:val="32"/>
        </w:rPr>
        <w:t>关注乡村振兴，</w:t>
      </w:r>
      <w:r>
        <w:rPr>
          <w:rFonts w:hint="eastAsia" w:ascii="Times New Roman" w:hAnsi="Times New Roman" w:eastAsia="仿宋_GB2312" w:cs="Times New Roman"/>
          <w:kern w:val="0"/>
          <w:sz w:val="32"/>
          <w:szCs w:val="32"/>
        </w:rPr>
        <w:t>听取和审议水利工作情况报告，推动加强河湖系统治理保护，</w:t>
      </w:r>
      <w:r>
        <w:rPr>
          <w:rFonts w:hint="eastAsia" w:ascii="Times New Roman" w:hAnsi="Times New Roman" w:eastAsia="仿宋_GB2312" w:cs="Times New Roman"/>
          <w:kern w:val="0"/>
          <w:sz w:val="32"/>
          <w:szCs w:val="32"/>
          <w:lang w:val="en-US" w:eastAsia="zh-CN"/>
        </w:rPr>
        <w:t>增强</w:t>
      </w:r>
      <w:r>
        <w:rPr>
          <w:rFonts w:hint="eastAsia" w:ascii="Times New Roman" w:hAnsi="Times New Roman" w:eastAsia="仿宋_GB2312" w:cs="Times New Roman"/>
          <w:kern w:val="0"/>
          <w:sz w:val="32"/>
          <w:szCs w:val="32"/>
        </w:rPr>
        <w:t>水旱灾害防御能力。专题视察农业机械化工作情况，提出提升重点农作物机械化率、加快先进技术推广与服务主体培育等建议</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助推农业机械化水平全面提高</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b/>
          <w:bCs/>
          <w:kern w:val="0"/>
          <w:sz w:val="32"/>
          <w:szCs w:val="32"/>
        </w:rPr>
        <w:t>关注绿色发展，</w:t>
      </w:r>
      <w:r>
        <w:rPr>
          <w:rFonts w:hint="eastAsia" w:ascii="Times New Roman" w:hAnsi="Times New Roman" w:eastAsia="仿宋_GB2312" w:cs="Times New Roman"/>
          <w:kern w:val="0"/>
          <w:sz w:val="32"/>
          <w:szCs w:val="32"/>
        </w:rPr>
        <w:t>听取和审议环境状况和环境保护目标完成情况报告，</w:t>
      </w:r>
      <w:r>
        <w:rPr>
          <w:rFonts w:hint="eastAsia" w:ascii="Times New Roman" w:hAnsi="Times New Roman" w:eastAsia="仿宋_GB2312" w:cs="Times New Roman"/>
          <w:kern w:val="0"/>
          <w:sz w:val="32"/>
          <w:szCs w:val="32"/>
          <w:lang w:val="en-US" w:eastAsia="zh-CN"/>
        </w:rPr>
        <w:t>助推</w:t>
      </w:r>
      <w:r>
        <w:rPr>
          <w:rFonts w:hint="eastAsia" w:ascii="Times New Roman" w:hAnsi="Times New Roman" w:eastAsia="仿宋_GB2312" w:cs="Times New Roman"/>
          <w:kern w:val="0"/>
          <w:sz w:val="32"/>
          <w:szCs w:val="32"/>
        </w:rPr>
        <w:t>政府着力改善生态环境质量，加快打造生态宜居的美丽武陵。</w:t>
      </w:r>
    </w:p>
    <w:p w14:paraId="6BE13687">
      <w:pPr>
        <w:widowControl/>
        <w:spacing w:line="576" w:lineRule="exact"/>
        <w:ind w:firstLine="640" w:firstLineChars="200"/>
        <w:rPr>
          <w:rFonts w:eastAsia="黑体" w:cs="Times New Roman"/>
          <w:color w:val="222222"/>
          <w:kern w:val="0"/>
          <w:sz w:val="32"/>
          <w:szCs w:val="32"/>
        </w:rPr>
      </w:pPr>
      <w:r>
        <w:rPr>
          <w:rFonts w:eastAsia="黑体" w:cs="Times New Roman"/>
          <w:color w:val="222222"/>
          <w:kern w:val="0"/>
          <w:sz w:val="32"/>
          <w:szCs w:val="32"/>
        </w:rPr>
        <w:t>七、</w:t>
      </w:r>
      <w:r>
        <w:rPr>
          <w:rFonts w:hint="eastAsia" w:eastAsia="黑体" w:cs="Times New Roman"/>
          <w:color w:val="222222"/>
          <w:kern w:val="0"/>
          <w:sz w:val="32"/>
          <w:szCs w:val="32"/>
        </w:rPr>
        <w:t>存在的问题及原因分析</w:t>
      </w:r>
    </w:p>
    <w:p w14:paraId="45FC4BC2">
      <w:pPr>
        <w:widowControl/>
        <w:spacing w:line="560" w:lineRule="exact"/>
        <w:ind w:firstLine="640"/>
        <w:rPr>
          <w:rFonts w:hint="eastAsia" w:ascii="楷体_GB2312" w:hAnsi="楷体_GB2312" w:eastAsia="楷体_GB2312" w:cs="楷体_GB2312"/>
          <w:color w:val="222222"/>
          <w:kern w:val="0"/>
          <w:sz w:val="32"/>
          <w:szCs w:val="32"/>
          <w:lang w:val="en-US" w:eastAsia="zh-CN"/>
        </w:rPr>
      </w:pPr>
      <w:r>
        <w:rPr>
          <w:rFonts w:hint="eastAsia" w:ascii="楷体_GB2312" w:hAnsi="楷体_GB2312" w:eastAsia="楷体_GB2312" w:cs="楷体_GB2312"/>
          <w:color w:val="222222"/>
          <w:kern w:val="0"/>
          <w:sz w:val="32"/>
          <w:szCs w:val="32"/>
          <w:lang w:val="en-US" w:eastAsia="zh-CN"/>
        </w:rPr>
        <w:t>（一）预算编制不够精准</w:t>
      </w:r>
    </w:p>
    <w:p w14:paraId="7A8C46B4">
      <w:pPr>
        <w:widowControl/>
        <w:spacing w:line="560" w:lineRule="exact"/>
        <w:ind w:firstLine="640"/>
        <w:rPr>
          <w:rFonts w:hint="eastAsia" w:ascii="Times New Roman" w:hAnsi="Times New Roman" w:eastAsia="仿宋" w:cs="Times New Roman"/>
          <w:color w:val="222222"/>
          <w:kern w:val="0"/>
          <w:sz w:val="32"/>
          <w:szCs w:val="32"/>
          <w:lang w:val="en-US" w:eastAsia="zh-CN"/>
        </w:rPr>
      </w:pPr>
      <w:r>
        <w:rPr>
          <w:rFonts w:hint="eastAsia" w:ascii="Times New Roman" w:hAnsi="Times New Roman" w:eastAsia="仿宋" w:cs="Times New Roman"/>
          <w:color w:val="222222"/>
          <w:kern w:val="0"/>
          <w:sz w:val="32"/>
          <w:szCs w:val="32"/>
          <w:lang w:val="en-US" w:eastAsia="zh-CN"/>
        </w:rPr>
        <w:t>预算编制不够精准，执行不够严谨，202</w:t>
      </w:r>
      <w:r>
        <w:rPr>
          <w:rFonts w:hint="eastAsia" w:eastAsia="仿宋" w:cs="Times New Roman"/>
          <w:color w:val="222222"/>
          <w:kern w:val="0"/>
          <w:sz w:val="32"/>
          <w:szCs w:val="32"/>
          <w:lang w:val="en-US" w:eastAsia="zh-CN"/>
        </w:rPr>
        <w:t>5</w:t>
      </w:r>
      <w:r>
        <w:rPr>
          <w:rFonts w:hint="eastAsia" w:ascii="Times New Roman" w:hAnsi="Times New Roman" w:eastAsia="仿宋" w:cs="Times New Roman"/>
          <w:color w:val="222222"/>
          <w:kern w:val="0"/>
          <w:sz w:val="32"/>
          <w:szCs w:val="32"/>
          <w:lang w:val="en-US" w:eastAsia="zh-CN"/>
        </w:rPr>
        <w:t>年实际支出情况与预算存在差异。</w:t>
      </w:r>
    </w:p>
    <w:p w14:paraId="0AA7F94A">
      <w:pPr>
        <w:widowControl/>
        <w:spacing w:line="560" w:lineRule="exact"/>
        <w:ind w:firstLine="640"/>
        <w:rPr>
          <w:rFonts w:hint="eastAsia" w:ascii="Times New Roman" w:hAnsi="Times New Roman" w:eastAsia="仿宋" w:cs="Times New Roman"/>
          <w:color w:val="222222"/>
          <w:kern w:val="0"/>
          <w:sz w:val="32"/>
          <w:szCs w:val="32"/>
          <w:lang w:val="en-US" w:eastAsia="zh-CN"/>
        </w:rPr>
      </w:pPr>
      <w:r>
        <w:rPr>
          <w:rFonts w:hint="eastAsia" w:ascii="Times New Roman" w:hAnsi="Times New Roman" w:eastAsia="仿宋" w:cs="Times New Roman"/>
          <w:color w:val="222222"/>
          <w:kern w:val="0"/>
          <w:sz w:val="32"/>
          <w:szCs w:val="32"/>
          <w:lang w:val="en-US" w:eastAsia="zh-CN"/>
        </w:rPr>
        <w:t>原因分析：预算编制依据不充分。</w:t>
      </w:r>
    </w:p>
    <w:p w14:paraId="72FC3172">
      <w:pPr>
        <w:widowControl/>
        <w:numPr>
          <w:ilvl w:val="0"/>
          <w:numId w:val="0"/>
        </w:numPr>
        <w:spacing w:line="560" w:lineRule="exact"/>
        <w:ind w:firstLine="640" w:firstLineChars="200"/>
        <w:rPr>
          <w:rFonts w:ascii="Arial" w:hAnsi="Arial" w:eastAsia="宋体" w:cs="Arial"/>
          <w:i w:val="0"/>
          <w:iCs w:val="0"/>
          <w:caps w:val="0"/>
          <w:color w:val="3D3D3D"/>
          <w:spacing w:val="0"/>
          <w:sz w:val="21"/>
          <w:szCs w:val="21"/>
          <w:shd w:val="clear" w:fill="FFFFFF"/>
        </w:rPr>
      </w:pPr>
      <w:r>
        <w:rPr>
          <w:rFonts w:hint="eastAsia" w:ascii="楷体_GB2312" w:hAnsi="楷体_GB2312" w:eastAsia="楷体_GB2312" w:cs="楷体_GB2312"/>
          <w:color w:val="222222"/>
          <w:kern w:val="0"/>
          <w:sz w:val="32"/>
          <w:szCs w:val="32"/>
          <w:lang w:val="en-US" w:eastAsia="zh-CN"/>
        </w:rPr>
        <w:t>（二）绩效监控力度有待加强</w:t>
      </w:r>
    </w:p>
    <w:p w14:paraId="5FE5BDEF">
      <w:pPr>
        <w:widowControl/>
        <w:spacing w:line="560" w:lineRule="exact"/>
        <w:ind w:firstLine="640"/>
        <w:rPr>
          <w:rFonts w:hint="eastAsia" w:ascii="Times New Roman" w:hAnsi="Times New Roman" w:eastAsia="仿宋" w:cs="Times New Roman"/>
          <w:color w:val="222222"/>
          <w:kern w:val="0"/>
          <w:sz w:val="32"/>
          <w:szCs w:val="32"/>
          <w:lang w:val="en-US" w:eastAsia="zh-CN"/>
        </w:rPr>
      </w:pPr>
      <w:r>
        <w:rPr>
          <w:rFonts w:hint="eastAsia" w:ascii="Times New Roman" w:hAnsi="Times New Roman" w:eastAsia="仿宋" w:cs="Times New Roman"/>
          <w:color w:val="222222"/>
          <w:kern w:val="0"/>
          <w:sz w:val="32"/>
          <w:szCs w:val="32"/>
          <w:lang w:val="en-US" w:eastAsia="zh-CN"/>
        </w:rPr>
        <w:t>单位日常绩效监控机制不够完善，对相关工作实施过程的跟踪问效不够及时，存在一定滞后性，绩效运行偏离预警和纠偏机制落实不到位，未能充分发挥绩效监控的作用。</w:t>
      </w:r>
    </w:p>
    <w:p w14:paraId="01A2EC0B">
      <w:pPr>
        <w:widowControl/>
        <w:spacing w:line="560" w:lineRule="exact"/>
        <w:ind w:firstLine="640"/>
        <w:rPr>
          <w:rFonts w:hint="eastAsia" w:ascii="Times New Roman" w:hAnsi="Times New Roman" w:eastAsia="仿宋" w:cs="Times New Roman"/>
          <w:color w:val="222222"/>
          <w:kern w:val="0"/>
          <w:sz w:val="32"/>
          <w:szCs w:val="32"/>
          <w:lang w:val="en-US" w:eastAsia="zh-CN"/>
        </w:rPr>
      </w:pPr>
      <w:r>
        <w:rPr>
          <w:rFonts w:hint="eastAsia" w:ascii="Times New Roman" w:hAnsi="Times New Roman" w:eastAsia="仿宋" w:cs="Times New Roman"/>
          <w:color w:val="222222"/>
          <w:kern w:val="0"/>
          <w:sz w:val="32"/>
          <w:szCs w:val="32"/>
          <w:lang w:val="en-US" w:eastAsia="zh-CN"/>
        </w:rPr>
        <w:t>原因分析：</w:t>
      </w:r>
      <w:r>
        <w:rPr>
          <w:rFonts w:hint="eastAsia" w:eastAsia="仿宋" w:cs="Times New Roman"/>
          <w:color w:val="222222"/>
          <w:kern w:val="0"/>
          <w:sz w:val="32"/>
          <w:szCs w:val="32"/>
          <w:lang w:val="en-US" w:eastAsia="zh-CN"/>
        </w:rPr>
        <w:t>财务和业务工作职责分工不清晰。</w:t>
      </w:r>
    </w:p>
    <w:p w14:paraId="5CEA2785">
      <w:pPr>
        <w:keepNext w:val="0"/>
        <w:keepLines w:val="0"/>
        <w:pageBreakBefore w:val="0"/>
        <w:widowControl/>
        <w:kinsoku/>
        <w:wordWrap/>
        <w:overflowPunct/>
        <w:topLinePunct w:val="0"/>
        <w:autoSpaceDE/>
        <w:autoSpaceDN/>
        <w:bidi w:val="0"/>
        <w:adjustRightInd/>
        <w:snapToGrid/>
        <w:spacing w:line="576" w:lineRule="exact"/>
        <w:ind w:firstLine="640" w:firstLineChars="200"/>
        <w:textAlignment w:val="auto"/>
        <w:rPr>
          <w:rFonts w:eastAsia="黑体" w:cs="Times New Roman"/>
          <w:color w:val="222222"/>
          <w:kern w:val="0"/>
          <w:sz w:val="32"/>
          <w:szCs w:val="32"/>
        </w:rPr>
      </w:pPr>
      <w:r>
        <w:rPr>
          <w:rFonts w:eastAsia="黑体" w:cs="Times New Roman"/>
          <w:color w:val="222222"/>
          <w:kern w:val="0"/>
          <w:sz w:val="32"/>
          <w:szCs w:val="32"/>
        </w:rPr>
        <w:t>八、</w:t>
      </w:r>
      <w:r>
        <w:rPr>
          <w:rFonts w:hint="eastAsia" w:eastAsia="黑体" w:cs="Times New Roman"/>
          <w:color w:val="222222"/>
          <w:kern w:val="0"/>
          <w:sz w:val="32"/>
          <w:szCs w:val="32"/>
        </w:rPr>
        <w:t>下一步改进措施</w:t>
      </w:r>
    </w:p>
    <w:p w14:paraId="10BA59AA">
      <w:pPr>
        <w:widowControl/>
        <w:spacing w:line="560" w:lineRule="exact"/>
        <w:ind w:firstLine="640"/>
        <w:rPr>
          <w:rFonts w:hint="eastAsia" w:ascii="楷体_GB2312" w:hAnsi="楷体_GB2312" w:eastAsia="楷体_GB2312" w:cs="楷体_GB2312"/>
          <w:color w:val="222222"/>
          <w:kern w:val="0"/>
          <w:sz w:val="32"/>
          <w:szCs w:val="32"/>
          <w:lang w:val="en-US" w:eastAsia="zh-CN"/>
        </w:rPr>
      </w:pPr>
      <w:r>
        <w:rPr>
          <w:rFonts w:hint="eastAsia" w:ascii="楷体_GB2312" w:hAnsi="楷体_GB2312" w:eastAsia="楷体_GB2312" w:cs="楷体_GB2312"/>
          <w:color w:val="222222"/>
          <w:kern w:val="0"/>
          <w:sz w:val="32"/>
          <w:szCs w:val="32"/>
          <w:lang w:val="en-US" w:eastAsia="zh-CN"/>
        </w:rPr>
        <w:t>（一）精准编制年度预算</w:t>
      </w:r>
    </w:p>
    <w:p w14:paraId="7DA8402F">
      <w:pPr>
        <w:widowControl/>
        <w:spacing w:line="560" w:lineRule="exact"/>
        <w:ind w:firstLine="640"/>
        <w:rPr>
          <w:rFonts w:hint="eastAsia" w:ascii="Times New Roman" w:hAnsi="Times New Roman" w:eastAsia="仿宋" w:cs="Times New Roman"/>
          <w:color w:val="222222"/>
          <w:kern w:val="0"/>
          <w:sz w:val="32"/>
          <w:szCs w:val="32"/>
          <w:lang w:val="en-US" w:eastAsia="zh-CN"/>
        </w:rPr>
      </w:pPr>
      <w:r>
        <w:rPr>
          <w:rFonts w:hint="eastAsia" w:ascii="Times New Roman" w:hAnsi="Times New Roman" w:eastAsia="仿宋" w:cs="Times New Roman"/>
          <w:color w:val="222222"/>
          <w:kern w:val="0"/>
          <w:sz w:val="32"/>
          <w:szCs w:val="32"/>
          <w:lang w:val="en-US" w:eastAsia="zh-CN"/>
        </w:rPr>
        <w:t>细化预算编制工作，认真做好预算的编制。全面编制预算项目，优先保障保基本、保运行的费用支出项目，尽量压缩变动性的、有控制空间的费用项目，进一步根据人大事务提高预算编制的科学性、严谨性和可控性,减少预决算差异。</w:t>
      </w:r>
    </w:p>
    <w:p w14:paraId="097D4B95">
      <w:pPr>
        <w:numPr>
          <w:ilvl w:val="0"/>
          <w:numId w:val="1"/>
        </w:numPr>
        <w:spacing w:line="576" w:lineRule="exact"/>
        <w:ind w:firstLine="640" w:firstLineChars="200"/>
        <w:rPr>
          <w:rFonts w:hint="eastAsia" w:ascii="楷体_GB2312" w:hAnsi="楷体_GB2312" w:eastAsia="楷体_GB2312" w:cs="楷体_GB2312"/>
          <w:color w:val="222222"/>
          <w:kern w:val="0"/>
          <w:sz w:val="32"/>
          <w:szCs w:val="32"/>
          <w:lang w:val="en-US" w:eastAsia="zh-CN"/>
        </w:rPr>
      </w:pPr>
      <w:r>
        <w:rPr>
          <w:rFonts w:hint="eastAsia" w:ascii="楷体_GB2312" w:hAnsi="楷体_GB2312" w:eastAsia="楷体_GB2312" w:cs="楷体_GB2312"/>
          <w:color w:val="222222"/>
          <w:kern w:val="0"/>
          <w:sz w:val="32"/>
          <w:szCs w:val="32"/>
          <w:lang w:val="en-US" w:eastAsia="zh-CN"/>
        </w:rPr>
        <w:t>强化全过程绩效监控</w:t>
      </w:r>
    </w:p>
    <w:p w14:paraId="59399B7E">
      <w:pPr>
        <w:numPr>
          <w:ilvl w:val="0"/>
          <w:numId w:val="0"/>
        </w:numPr>
        <w:spacing w:line="576" w:lineRule="exact"/>
        <w:ind w:firstLine="640" w:firstLineChars="200"/>
        <w:rPr>
          <w:rFonts w:eastAsia="仿宋" w:cs="Times New Roman"/>
          <w:color w:val="000000"/>
          <w:sz w:val="32"/>
          <w:szCs w:val="32"/>
        </w:rPr>
      </w:pPr>
      <w:r>
        <w:rPr>
          <w:rFonts w:hint="eastAsia" w:ascii="Times New Roman" w:hAnsi="Times New Roman" w:eastAsia="仿宋" w:cs="Times New Roman"/>
          <w:color w:val="222222"/>
          <w:kern w:val="0"/>
          <w:sz w:val="32"/>
          <w:szCs w:val="32"/>
          <w:lang w:val="en-US" w:eastAsia="zh-CN"/>
        </w:rPr>
        <w:t>建立常态化跟踪问效机制。明确财务和业务工作在预算执行中的职责分工，动态跟踪资金使用进度，不断提升预算监控的联动性。</w:t>
      </w:r>
    </w:p>
    <w:p w14:paraId="5B836D06">
      <w:pPr>
        <w:widowControl/>
        <w:spacing w:line="560" w:lineRule="exact"/>
        <w:ind w:firstLine="640"/>
        <w:rPr>
          <w:rFonts w:hint="eastAsia" w:ascii="Times New Roman" w:hAnsi="Times New Roman" w:eastAsia="黑体" w:cs="Times New Roman"/>
          <w:color w:val="000000"/>
          <w:sz w:val="32"/>
          <w:szCs w:val="32"/>
        </w:rPr>
      </w:pPr>
      <w:r>
        <w:rPr>
          <w:rFonts w:hint="eastAsia" w:ascii="Times New Roman" w:hAnsi="Times New Roman" w:eastAsia="黑体" w:cs="Times New Roman"/>
          <w:color w:val="000000"/>
          <w:sz w:val="32"/>
          <w:szCs w:val="32"/>
          <w:lang w:val="en-US" w:eastAsia="zh-CN"/>
        </w:rPr>
        <w:t>九</w:t>
      </w:r>
      <w:r>
        <w:rPr>
          <w:rFonts w:ascii="Times New Roman" w:hAnsi="Times New Roman" w:eastAsia="黑体" w:cs="Times New Roman"/>
          <w:color w:val="000000"/>
          <w:sz w:val="32"/>
          <w:szCs w:val="32"/>
        </w:rPr>
        <w:t>、</w:t>
      </w:r>
      <w:r>
        <w:rPr>
          <w:rFonts w:hint="eastAsia" w:ascii="Times New Roman" w:hAnsi="Times New Roman" w:eastAsia="黑体" w:cs="Times New Roman"/>
          <w:color w:val="000000"/>
          <w:sz w:val="32"/>
          <w:szCs w:val="32"/>
        </w:rPr>
        <w:t>绩效自评结果拟应用和公开情况</w:t>
      </w:r>
    </w:p>
    <w:p w14:paraId="0F093E27">
      <w:pPr>
        <w:widowControl/>
        <w:spacing w:line="560" w:lineRule="exact"/>
        <w:ind w:firstLine="640"/>
        <w:rPr>
          <w:rFonts w:hint="eastAsia" w:ascii="Times New Roman" w:hAnsi="Times New Roman" w:eastAsia="仿宋" w:cs="Times New Roman"/>
          <w:color w:val="222222"/>
          <w:kern w:val="0"/>
          <w:sz w:val="32"/>
          <w:szCs w:val="32"/>
          <w:lang w:val="en-US" w:eastAsia="zh-CN"/>
        </w:rPr>
      </w:pPr>
      <w:bookmarkStart w:id="0" w:name="_GoBack"/>
      <w:r>
        <w:rPr>
          <w:rFonts w:hint="eastAsia" w:ascii="Times New Roman" w:hAnsi="Times New Roman" w:eastAsia="仿宋" w:cs="Times New Roman"/>
          <w:color w:val="222222"/>
          <w:kern w:val="0"/>
          <w:sz w:val="32"/>
          <w:szCs w:val="32"/>
          <w:lang w:val="en-US" w:eastAsia="zh-CN"/>
        </w:rPr>
        <w:t>已在政府门户网站上同步公开202</w:t>
      </w:r>
      <w:r>
        <w:rPr>
          <w:rFonts w:hint="eastAsia" w:eastAsia="仿宋" w:cs="Times New Roman"/>
          <w:color w:val="222222"/>
          <w:kern w:val="0"/>
          <w:sz w:val="32"/>
          <w:szCs w:val="32"/>
          <w:lang w:val="en-US" w:eastAsia="zh-CN"/>
        </w:rPr>
        <w:t>5</w:t>
      </w:r>
      <w:r>
        <w:rPr>
          <w:rFonts w:hint="eastAsia" w:ascii="Times New Roman" w:hAnsi="Times New Roman" w:eastAsia="仿宋" w:cs="Times New Roman"/>
          <w:color w:val="222222"/>
          <w:kern w:val="0"/>
          <w:sz w:val="32"/>
          <w:szCs w:val="32"/>
          <w:lang w:val="en-US" w:eastAsia="zh-CN"/>
        </w:rPr>
        <w:t>年度部门决算，截至部门决算公开时，绩效自评结果还未应用但拟应用。</w:t>
      </w:r>
    </w:p>
    <w:bookmarkEnd w:id="0"/>
    <w:p w14:paraId="0B2E337A">
      <w:pPr>
        <w:spacing w:line="576" w:lineRule="exact"/>
        <w:ind w:firstLine="640" w:firstLineChars="200"/>
        <w:rPr>
          <w:rFonts w:eastAsia="仿宋" w:cs="Times New Roman"/>
          <w:color w:val="000000"/>
          <w:sz w:val="32"/>
          <w:szCs w:val="32"/>
        </w:rPr>
      </w:pPr>
    </w:p>
    <w:p w14:paraId="016B28C6">
      <w:pPr>
        <w:spacing w:line="576" w:lineRule="exact"/>
        <w:rPr>
          <w:rFonts w:eastAsia="仿宋" w:cs="Times New Roman"/>
          <w:color w:val="000000"/>
          <w:sz w:val="32"/>
          <w:szCs w:val="32"/>
        </w:rPr>
      </w:pPr>
    </w:p>
    <w:p w14:paraId="637A8441">
      <w:pPr>
        <w:pStyle w:val="15"/>
      </w:pPr>
    </w:p>
    <w:p w14:paraId="1B6EAD71">
      <w:pPr>
        <w:spacing w:line="576" w:lineRule="exact"/>
        <w:ind w:firstLine="640" w:firstLineChars="200"/>
        <w:rPr>
          <w:rFonts w:eastAsia="仿宋" w:cs="Times New Roman"/>
          <w:sz w:val="32"/>
          <w:szCs w:val="32"/>
        </w:rPr>
      </w:pPr>
      <w:r>
        <w:rPr>
          <w:rFonts w:eastAsia="仿宋" w:cs="Times New Roman"/>
          <w:sz w:val="32"/>
          <w:szCs w:val="32"/>
        </w:rPr>
        <w:t>附件：1.部门整体支出绩效评价指标表</w:t>
      </w:r>
    </w:p>
    <w:p w14:paraId="5E88C2C6">
      <w:pPr>
        <w:spacing w:line="576" w:lineRule="exact"/>
        <w:ind w:firstLine="1600" w:firstLineChars="500"/>
        <w:rPr>
          <w:rFonts w:eastAsia="仿宋" w:cs="Times New Roman"/>
          <w:sz w:val="32"/>
          <w:szCs w:val="32"/>
        </w:rPr>
      </w:pPr>
      <w:r>
        <w:rPr>
          <w:rFonts w:eastAsia="仿宋" w:cs="Times New Roman"/>
          <w:sz w:val="32"/>
          <w:szCs w:val="32"/>
        </w:rPr>
        <w:t>2.部门整体支出绩效评价基础数据表</w:t>
      </w:r>
    </w:p>
    <w:p w14:paraId="0D1ADFED">
      <w:pPr>
        <w:spacing w:line="576" w:lineRule="exact"/>
        <w:ind w:firstLine="640" w:firstLineChars="200"/>
        <w:rPr>
          <w:rFonts w:eastAsia="仿宋" w:cs="Times New Roman"/>
          <w:sz w:val="32"/>
          <w:szCs w:val="32"/>
        </w:rPr>
      </w:pPr>
    </w:p>
    <w:p w14:paraId="082840BB">
      <w:pPr>
        <w:widowControl/>
        <w:spacing w:line="576" w:lineRule="exact"/>
        <w:ind w:firstLine="640"/>
        <w:rPr>
          <w:rFonts w:eastAsia="仿宋" w:cs="Times New Roman"/>
          <w:color w:val="000000"/>
          <w:sz w:val="32"/>
          <w:szCs w:val="32"/>
        </w:rPr>
      </w:pPr>
    </w:p>
    <w:p w14:paraId="6612E167">
      <w:pPr>
        <w:spacing w:line="576" w:lineRule="exact"/>
        <w:ind w:firstLine="640" w:firstLineChars="200"/>
        <w:rPr>
          <w:rFonts w:eastAsia="仿宋" w:cs="Times New Roman"/>
          <w:sz w:val="32"/>
          <w:szCs w:val="32"/>
        </w:rPr>
      </w:pPr>
      <w:r>
        <w:rPr>
          <w:rFonts w:eastAsia="仿宋" w:cs="Times New Roman"/>
          <w:sz w:val="32"/>
          <w:szCs w:val="32"/>
        </w:rPr>
        <w:t xml:space="preserve">                         武陵区人大常委会办公室</w:t>
      </w:r>
    </w:p>
    <w:p w14:paraId="3D5C1401">
      <w:pPr>
        <w:spacing w:line="576" w:lineRule="exact"/>
        <w:ind w:firstLine="640" w:firstLineChars="200"/>
        <w:jc w:val="center"/>
        <w:rPr>
          <w:rFonts w:eastAsia="仿宋" w:cs="Times New Roman"/>
          <w:sz w:val="32"/>
          <w:szCs w:val="32"/>
        </w:rPr>
      </w:pPr>
      <w:r>
        <w:rPr>
          <w:rFonts w:eastAsia="仿宋" w:cs="Times New Roman"/>
          <w:sz w:val="32"/>
          <w:szCs w:val="32"/>
        </w:rPr>
        <w:t xml:space="preserve">                    202</w:t>
      </w:r>
      <w:r>
        <w:rPr>
          <w:rFonts w:hint="eastAsia" w:eastAsia="仿宋" w:cs="Times New Roman"/>
          <w:sz w:val="32"/>
          <w:szCs w:val="32"/>
          <w:lang w:val="en-US" w:eastAsia="zh-CN"/>
        </w:rPr>
        <w:t>6</w:t>
      </w:r>
      <w:r>
        <w:rPr>
          <w:rFonts w:eastAsia="仿宋" w:cs="Times New Roman"/>
          <w:sz w:val="32"/>
          <w:szCs w:val="32"/>
        </w:rPr>
        <w:t>年</w:t>
      </w:r>
      <w:r>
        <w:rPr>
          <w:rFonts w:hint="eastAsia" w:eastAsia="仿宋" w:cs="Times New Roman"/>
          <w:sz w:val="32"/>
          <w:szCs w:val="32"/>
          <w:lang w:val="en-US" w:eastAsia="zh-CN"/>
        </w:rPr>
        <w:t>9</w:t>
      </w:r>
      <w:r>
        <w:rPr>
          <w:rFonts w:eastAsia="仿宋" w:cs="Times New Roman"/>
          <w:sz w:val="32"/>
          <w:szCs w:val="32"/>
        </w:rPr>
        <w:t>月</w:t>
      </w:r>
      <w:r>
        <w:rPr>
          <w:rFonts w:hint="eastAsia" w:eastAsia="仿宋" w:cs="Times New Roman"/>
          <w:sz w:val="32"/>
          <w:szCs w:val="32"/>
          <w:lang w:val="en-US" w:eastAsia="zh-CN"/>
        </w:rPr>
        <w:t>1</w:t>
      </w:r>
      <w:r>
        <w:rPr>
          <w:rFonts w:eastAsia="仿宋" w:cs="Times New Roman"/>
          <w:sz w:val="32"/>
          <w:szCs w:val="32"/>
        </w:rPr>
        <w:t>7日</w:t>
      </w:r>
    </w:p>
    <w:p w14:paraId="78439BCD">
      <w:pPr>
        <w:spacing w:line="576" w:lineRule="exact"/>
        <w:jc w:val="center"/>
        <w:rPr>
          <w:rFonts w:eastAsia="方正小标宋简体" w:cs="Times New Roman"/>
          <w:kern w:val="0"/>
          <w:sz w:val="44"/>
          <w:szCs w:val="44"/>
        </w:rPr>
      </w:pPr>
    </w:p>
    <w:p w14:paraId="4A6B5217">
      <w:pPr>
        <w:spacing w:line="576" w:lineRule="exact"/>
        <w:jc w:val="center"/>
        <w:rPr>
          <w:rFonts w:eastAsia="方正小标宋简体" w:cs="Times New Roman"/>
          <w:kern w:val="0"/>
          <w:sz w:val="44"/>
          <w:szCs w:val="44"/>
        </w:rPr>
      </w:pPr>
    </w:p>
    <w:p w14:paraId="6BA2C5A7">
      <w:pPr>
        <w:spacing w:line="576" w:lineRule="exact"/>
        <w:jc w:val="center"/>
        <w:rPr>
          <w:rFonts w:eastAsia="方正小标宋简体" w:cs="Times New Roman"/>
          <w:kern w:val="0"/>
          <w:sz w:val="44"/>
          <w:szCs w:val="44"/>
        </w:rPr>
      </w:pPr>
    </w:p>
    <w:p w14:paraId="52D8FA6B">
      <w:pPr>
        <w:spacing w:line="576" w:lineRule="exact"/>
        <w:jc w:val="center"/>
        <w:rPr>
          <w:rFonts w:eastAsia="方正小标宋简体" w:cs="Times New Roman"/>
          <w:kern w:val="0"/>
          <w:sz w:val="44"/>
          <w:szCs w:val="44"/>
        </w:rPr>
      </w:pPr>
    </w:p>
    <w:p w14:paraId="0DE752F8">
      <w:pPr>
        <w:spacing w:line="576" w:lineRule="exact"/>
        <w:jc w:val="center"/>
        <w:rPr>
          <w:rFonts w:eastAsia="方正小标宋简体" w:cs="Times New Roman"/>
          <w:kern w:val="0"/>
          <w:sz w:val="44"/>
          <w:szCs w:val="44"/>
        </w:rPr>
      </w:pPr>
    </w:p>
    <w:p w14:paraId="11987AC2">
      <w:pPr>
        <w:spacing w:line="576" w:lineRule="exact"/>
        <w:jc w:val="center"/>
        <w:rPr>
          <w:rFonts w:eastAsia="方正小标宋简体" w:cs="Times New Roman"/>
          <w:kern w:val="0"/>
          <w:sz w:val="44"/>
          <w:szCs w:val="44"/>
        </w:rPr>
      </w:pPr>
    </w:p>
    <w:p w14:paraId="58E8C3C5">
      <w:pPr>
        <w:spacing w:line="576" w:lineRule="exact"/>
        <w:jc w:val="center"/>
        <w:rPr>
          <w:rFonts w:eastAsia="方正小标宋简体" w:cs="Times New Roman"/>
          <w:kern w:val="0"/>
          <w:sz w:val="44"/>
          <w:szCs w:val="44"/>
        </w:rPr>
      </w:pPr>
    </w:p>
    <w:p w14:paraId="137F2334">
      <w:pPr>
        <w:spacing w:line="576" w:lineRule="exact"/>
        <w:jc w:val="center"/>
        <w:rPr>
          <w:rFonts w:eastAsia="方正小标宋简体" w:cs="Times New Roman"/>
          <w:kern w:val="0"/>
          <w:sz w:val="44"/>
          <w:szCs w:val="44"/>
        </w:rPr>
      </w:pPr>
    </w:p>
    <w:p w14:paraId="347581D1">
      <w:pPr>
        <w:rPr>
          <w:rFonts w:eastAsia="方正小标宋简体" w:cs="Times New Roman"/>
          <w:kern w:val="0"/>
          <w:sz w:val="44"/>
          <w:szCs w:val="44"/>
        </w:rPr>
      </w:pPr>
      <w:r>
        <w:rPr>
          <w:rFonts w:eastAsia="方正小标宋简体" w:cs="Times New Roman"/>
          <w:kern w:val="0"/>
          <w:sz w:val="44"/>
          <w:szCs w:val="44"/>
        </w:rPr>
        <w:br w:type="page"/>
      </w:r>
    </w:p>
    <w:p w14:paraId="2465FD97">
      <w:pPr>
        <w:spacing w:line="576" w:lineRule="exact"/>
        <w:ind w:left="-1" w:leftChars="-270" w:hanging="566" w:hangingChars="177"/>
        <w:rPr>
          <w:rFonts w:eastAsia="黑体" w:cs="Times New Roman"/>
          <w:kern w:val="0"/>
          <w:sz w:val="32"/>
          <w:szCs w:val="32"/>
        </w:rPr>
      </w:pPr>
      <w:r>
        <w:rPr>
          <w:rFonts w:eastAsia="黑体" w:cs="Times New Roman"/>
          <w:kern w:val="0"/>
          <w:sz w:val="32"/>
          <w:szCs w:val="32"/>
        </w:rPr>
        <w:t>附件1</w:t>
      </w:r>
    </w:p>
    <w:p w14:paraId="2A3D4EC3">
      <w:pPr>
        <w:spacing w:line="576" w:lineRule="exact"/>
        <w:jc w:val="center"/>
        <w:rPr>
          <w:rFonts w:eastAsia="方正小标宋简体" w:cs="Times New Roman"/>
          <w:kern w:val="0"/>
          <w:sz w:val="44"/>
          <w:szCs w:val="44"/>
        </w:rPr>
      </w:pPr>
    </w:p>
    <w:p w14:paraId="0E2FA4F0">
      <w:pPr>
        <w:spacing w:line="576" w:lineRule="exact"/>
        <w:jc w:val="center"/>
        <w:rPr>
          <w:rFonts w:eastAsia="仿宋" w:cs="Times New Roman"/>
          <w:sz w:val="32"/>
          <w:szCs w:val="32"/>
        </w:rPr>
      </w:pPr>
      <w:r>
        <w:rPr>
          <w:rFonts w:eastAsia="方正小标宋简体" w:cs="Times New Roman"/>
          <w:kern w:val="0"/>
          <w:sz w:val="44"/>
          <w:szCs w:val="44"/>
        </w:rPr>
        <w:t>部门整体支出绩效评价指标体系（参考）</w:t>
      </w:r>
    </w:p>
    <w:p w14:paraId="04D59E6F">
      <w:pPr>
        <w:spacing w:line="520" w:lineRule="exact"/>
        <w:rPr>
          <w:rFonts w:eastAsia="仿宋" w:cs="Times New Roman"/>
          <w:sz w:val="32"/>
          <w:szCs w:val="32"/>
        </w:rPr>
      </w:pPr>
    </w:p>
    <w:tbl>
      <w:tblPr>
        <w:tblStyle w:val="17"/>
        <w:tblW w:w="10623" w:type="dxa"/>
        <w:jc w:val="center"/>
        <w:tblLayout w:type="autofit"/>
        <w:tblCellMar>
          <w:top w:w="0" w:type="dxa"/>
          <w:left w:w="108" w:type="dxa"/>
          <w:bottom w:w="0" w:type="dxa"/>
          <w:right w:w="108" w:type="dxa"/>
        </w:tblCellMar>
      </w:tblPr>
      <w:tblGrid>
        <w:gridCol w:w="731"/>
        <w:gridCol w:w="550"/>
        <w:gridCol w:w="576"/>
        <w:gridCol w:w="676"/>
        <w:gridCol w:w="576"/>
        <w:gridCol w:w="3752"/>
        <w:gridCol w:w="3036"/>
        <w:gridCol w:w="726"/>
      </w:tblGrid>
      <w:tr w14:paraId="45CB90EC">
        <w:tblPrEx>
          <w:tblCellMar>
            <w:top w:w="0" w:type="dxa"/>
            <w:left w:w="108" w:type="dxa"/>
            <w:bottom w:w="0" w:type="dxa"/>
            <w:right w:w="108" w:type="dxa"/>
          </w:tblCellMar>
        </w:tblPrEx>
        <w:trPr>
          <w:trHeight w:val="660"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118EA452">
            <w:pPr>
              <w:widowControl/>
              <w:spacing w:line="280" w:lineRule="exact"/>
              <w:jc w:val="center"/>
              <w:rPr>
                <w:rFonts w:eastAsia="黑体" w:cs="Times New Roman"/>
                <w:kern w:val="0"/>
                <w:sz w:val="20"/>
                <w:szCs w:val="20"/>
              </w:rPr>
            </w:pPr>
            <w:r>
              <w:rPr>
                <w:rFonts w:eastAsia="黑体" w:cs="Times New Roman"/>
                <w:kern w:val="0"/>
                <w:sz w:val="20"/>
                <w:szCs w:val="20"/>
              </w:rPr>
              <w:t>一级</w:t>
            </w:r>
            <w:r>
              <w:rPr>
                <w:rFonts w:eastAsia="黑体" w:cs="Times New Roman"/>
                <w:kern w:val="0"/>
                <w:sz w:val="20"/>
                <w:szCs w:val="20"/>
              </w:rPr>
              <w:br w:type="textWrapping"/>
            </w:r>
            <w:r>
              <w:rPr>
                <w:rFonts w:eastAsia="黑体" w:cs="Times New Roman"/>
                <w:kern w:val="0"/>
                <w:sz w:val="20"/>
                <w:szCs w:val="20"/>
              </w:rPr>
              <w:t>指标</w:t>
            </w:r>
          </w:p>
        </w:tc>
        <w:tc>
          <w:tcPr>
            <w:tcW w:w="638" w:type="dxa"/>
            <w:tcBorders>
              <w:top w:val="single" w:color="auto" w:sz="4" w:space="0"/>
              <w:left w:val="nil"/>
              <w:bottom w:val="single" w:color="auto" w:sz="4" w:space="0"/>
              <w:right w:val="single" w:color="auto" w:sz="4" w:space="0"/>
            </w:tcBorders>
            <w:noWrap w:val="0"/>
            <w:vAlign w:val="center"/>
          </w:tcPr>
          <w:p w14:paraId="7674DFA3">
            <w:pPr>
              <w:widowControl/>
              <w:spacing w:line="280" w:lineRule="exact"/>
              <w:jc w:val="center"/>
              <w:rPr>
                <w:rFonts w:eastAsia="黑体" w:cs="Times New Roman"/>
                <w:kern w:val="0"/>
                <w:sz w:val="20"/>
                <w:szCs w:val="20"/>
              </w:rPr>
            </w:pPr>
            <w:r>
              <w:rPr>
                <w:rFonts w:eastAsia="黑体" w:cs="Times New Roman"/>
                <w:kern w:val="0"/>
                <w:sz w:val="20"/>
                <w:szCs w:val="20"/>
              </w:rPr>
              <w:t>二级</w:t>
            </w:r>
            <w:r>
              <w:rPr>
                <w:rFonts w:eastAsia="黑体" w:cs="Times New Roman"/>
                <w:kern w:val="0"/>
                <w:sz w:val="20"/>
                <w:szCs w:val="20"/>
              </w:rPr>
              <w:br w:type="textWrapping"/>
            </w:r>
            <w:r>
              <w:rPr>
                <w:rFonts w:eastAsia="黑体" w:cs="Times New Roman"/>
                <w:kern w:val="0"/>
                <w:sz w:val="20"/>
                <w:szCs w:val="20"/>
              </w:rPr>
              <w:t>指标</w:t>
            </w:r>
          </w:p>
        </w:tc>
        <w:tc>
          <w:tcPr>
            <w:tcW w:w="548" w:type="dxa"/>
            <w:tcBorders>
              <w:top w:val="single" w:color="auto" w:sz="4" w:space="0"/>
              <w:left w:val="nil"/>
              <w:bottom w:val="single" w:color="auto" w:sz="4" w:space="0"/>
              <w:right w:val="single" w:color="auto" w:sz="4" w:space="0"/>
            </w:tcBorders>
            <w:noWrap w:val="0"/>
            <w:vAlign w:val="center"/>
          </w:tcPr>
          <w:p w14:paraId="3F473BEA">
            <w:pPr>
              <w:widowControl/>
              <w:spacing w:line="280" w:lineRule="exact"/>
              <w:jc w:val="center"/>
              <w:rPr>
                <w:rFonts w:eastAsia="黑体" w:cs="Times New Roman"/>
                <w:kern w:val="0"/>
                <w:sz w:val="20"/>
                <w:szCs w:val="20"/>
              </w:rPr>
            </w:pPr>
            <w:r>
              <w:rPr>
                <w:rFonts w:eastAsia="黑体" w:cs="Times New Roman"/>
                <w:kern w:val="0"/>
                <w:sz w:val="20"/>
                <w:szCs w:val="20"/>
              </w:rPr>
              <w:t>分值</w:t>
            </w:r>
          </w:p>
        </w:tc>
        <w:tc>
          <w:tcPr>
            <w:tcW w:w="676" w:type="dxa"/>
            <w:tcBorders>
              <w:top w:val="single" w:color="auto" w:sz="4" w:space="0"/>
              <w:left w:val="nil"/>
              <w:bottom w:val="single" w:color="auto" w:sz="4" w:space="0"/>
              <w:right w:val="single" w:color="auto" w:sz="4" w:space="0"/>
            </w:tcBorders>
            <w:noWrap w:val="0"/>
            <w:vAlign w:val="center"/>
          </w:tcPr>
          <w:p w14:paraId="47DDB221">
            <w:pPr>
              <w:widowControl/>
              <w:spacing w:line="280" w:lineRule="exact"/>
              <w:jc w:val="center"/>
              <w:rPr>
                <w:rFonts w:eastAsia="黑体" w:cs="Times New Roman"/>
                <w:kern w:val="0"/>
                <w:sz w:val="20"/>
                <w:szCs w:val="20"/>
              </w:rPr>
            </w:pPr>
            <w:r>
              <w:rPr>
                <w:rFonts w:eastAsia="黑体" w:cs="Times New Roman"/>
                <w:kern w:val="0"/>
                <w:sz w:val="20"/>
                <w:szCs w:val="20"/>
              </w:rPr>
              <w:t>三级指标</w:t>
            </w:r>
          </w:p>
        </w:tc>
        <w:tc>
          <w:tcPr>
            <w:tcW w:w="516" w:type="dxa"/>
            <w:tcBorders>
              <w:top w:val="single" w:color="auto" w:sz="4" w:space="0"/>
              <w:left w:val="nil"/>
              <w:bottom w:val="single" w:color="auto" w:sz="4" w:space="0"/>
              <w:right w:val="single" w:color="auto" w:sz="4" w:space="0"/>
            </w:tcBorders>
            <w:noWrap w:val="0"/>
            <w:vAlign w:val="center"/>
          </w:tcPr>
          <w:p w14:paraId="05DD9D51">
            <w:pPr>
              <w:widowControl/>
              <w:spacing w:line="280" w:lineRule="exact"/>
              <w:jc w:val="center"/>
              <w:rPr>
                <w:rFonts w:eastAsia="黑体" w:cs="Times New Roman"/>
                <w:kern w:val="0"/>
                <w:sz w:val="20"/>
                <w:szCs w:val="20"/>
              </w:rPr>
            </w:pPr>
            <w:r>
              <w:rPr>
                <w:rFonts w:eastAsia="黑体" w:cs="Times New Roman"/>
                <w:kern w:val="0"/>
                <w:sz w:val="20"/>
                <w:szCs w:val="20"/>
              </w:rPr>
              <w:t>分值</w:t>
            </w:r>
          </w:p>
        </w:tc>
        <w:tc>
          <w:tcPr>
            <w:tcW w:w="3752" w:type="dxa"/>
            <w:tcBorders>
              <w:top w:val="single" w:color="auto" w:sz="4" w:space="0"/>
              <w:left w:val="nil"/>
              <w:bottom w:val="single" w:color="auto" w:sz="4" w:space="0"/>
              <w:right w:val="single" w:color="auto" w:sz="4" w:space="0"/>
            </w:tcBorders>
            <w:noWrap w:val="0"/>
            <w:vAlign w:val="center"/>
          </w:tcPr>
          <w:p w14:paraId="3D574CCC">
            <w:pPr>
              <w:widowControl/>
              <w:spacing w:line="280" w:lineRule="exact"/>
              <w:jc w:val="center"/>
              <w:rPr>
                <w:rFonts w:eastAsia="黑体" w:cs="Times New Roman"/>
                <w:kern w:val="0"/>
                <w:sz w:val="20"/>
                <w:szCs w:val="20"/>
              </w:rPr>
            </w:pPr>
            <w:r>
              <w:rPr>
                <w:rFonts w:eastAsia="黑体" w:cs="Times New Roman"/>
                <w:kern w:val="0"/>
                <w:sz w:val="20"/>
                <w:szCs w:val="20"/>
              </w:rPr>
              <w:t>指标解释</w:t>
            </w:r>
          </w:p>
        </w:tc>
        <w:tc>
          <w:tcPr>
            <w:tcW w:w="3036" w:type="dxa"/>
            <w:tcBorders>
              <w:top w:val="single" w:color="auto" w:sz="4" w:space="0"/>
              <w:left w:val="nil"/>
              <w:bottom w:val="single" w:color="auto" w:sz="4" w:space="0"/>
              <w:right w:val="single" w:color="auto" w:sz="4" w:space="0"/>
            </w:tcBorders>
            <w:noWrap w:val="0"/>
            <w:vAlign w:val="center"/>
          </w:tcPr>
          <w:p w14:paraId="6C0C0D45">
            <w:pPr>
              <w:widowControl/>
              <w:spacing w:line="280" w:lineRule="exact"/>
              <w:jc w:val="center"/>
              <w:rPr>
                <w:rFonts w:eastAsia="黑体" w:cs="Times New Roman"/>
                <w:kern w:val="0"/>
                <w:sz w:val="20"/>
                <w:szCs w:val="20"/>
              </w:rPr>
            </w:pPr>
            <w:r>
              <w:rPr>
                <w:rFonts w:eastAsia="黑体" w:cs="Times New Roman"/>
                <w:kern w:val="0"/>
                <w:sz w:val="20"/>
                <w:szCs w:val="20"/>
              </w:rPr>
              <w:t>评分标准</w:t>
            </w:r>
          </w:p>
        </w:tc>
        <w:tc>
          <w:tcPr>
            <w:tcW w:w="726" w:type="dxa"/>
            <w:tcBorders>
              <w:top w:val="single" w:color="auto" w:sz="4" w:space="0"/>
              <w:left w:val="nil"/>
              <w:bottom w:val="single" w:color="auto" w:sz="4" w:space="0"/>
              <w:right w:val="single" w:color="auto" w:sz="4" w:space="0"/>
            </w:tcBorders>
            <w:noWrap w:val="0"/>
            <w:vAlign w:val="center"/>
          </w:tcPr>
          <w:p w14:paraId="62FB4A32">
            <w:pPr>
              <w:widowControl/>
              <w:jc w:val="left"/>
              <w:rPr>
                <w:rFonts w:eastAsia="黑体" w:cs="Times New Roman"/>
                <w:kern w:val="0"/>
                <w:sz w:val="20"/>
                <w:szCs w:val="20"/>
              </w:rPr>
            </w:pPr>
            <w:r>
              <w:rPr>
                <w:rFonts w:eastAsia="黑体" w:cs="Times New Roman"/>
                <w:kern w:val="0"/>
                <w:sz w:val="20"/>
                <w:szCs w:val="20"/>
              </w:rPr>
              <w:t>自评</w:t>
            </w:r>
            <w:r>
              <w:rPr>
                <w:rFonts w:eastAsia="黑体" w:cs="Times New Roman"/>
                <w:kern w:val="0"/>
                <w:sz w:val="20"/>
                <w:szCs w:val="20"/>
              </w:rPr>
              <w:br w:type="textWrapping"/>
            </w:r>
            <w:r>
              <w:rPr>
                <w:rFonts w:eastAsia="黑体" w:cs="Times New Roman"/>
                <w:kern w:val="0"/>
                <w:sz w:val="20"/>
                <w:szCs w:val="20"/>
              </w:rPr>
              <w:t>得分</w:t>
            </w:r>
          </w:p>
        </w:tc>
      </w:tr>
      <w:tr w14:paraId="04461E4F">
        <w:tblPrEx>
          <w:tblCellMar>
            <w:top w:w="0" w:type="dxa"/>
            <w:left w:w="108" w:type="dxa"/>
            <w:bottom w:w="0" w:type="dxa"/>
            <w:right w:w="108" w:type="dxa"/>
          </w:tblCellMar>
        </w:tblPrEx>
        <w:trPr>
          <w:trHeight w:val="2702" w:hRule="atLeast"/>
          <w:jc w:val="center"/>
        </w:trPr>
        <w:tc>
          <w:tcPr>
            <w:tcW w:w="731"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312B2A78">
            <w:pPr>
              <w:widowControl/>
              <w:spacing w:line="280" w:lineRule="exact"/>
              <w:jc w:val="center"/>
              <w:rPr>
                <w:rFonts w:eastAsia="仿宋" w:cs="Times New Roman"/>
                <w:kern w:val="0"/>
                <w:sz w:val="24"/>
                <w:szCs w:val="24"/>
              </w:rPr>
            </w:pPr>
            <w:r>
              <w:rPr>
                <w:rFonts w:eastAsia="仿宋" w:cs="Times New Roman"/>
                <w:kern w:val="0"/>
                <w:sz w:val="24"/>
                <w:szCs w:val="24"/>
              </w:rPr>
              <w:t>投入</w:t>
            </w:r>
          </w:p>
        </w:tc>
        <w:tc>
          <w:tcPr>
            <w:tcW w:w="638" w:type="dxa"/>
            <w:vMerge w:val="restart"/>
            <w:tcBorders>
              <w:top w:val="single" w:color="auto" w:sz="4" w:space="0"/>
              <w:left w:val="single" w:color="auto" w:sz="4" w:space="0"/>
              <w:bottom w:val="single" w:color="auto" w:sz="4" w:space="0"/>
              <w:right w:val="single" w:color="auto" w:sz="4" w:space="0"/>
            </w:tcBorders>
            <w:noWrap w:val="0"/>
            <w:vAlign w:val="center"/>
          </w:tcPr>
          <w:p w14:paraId="3C3F2D5D">
            <w:pPr>
              <w:widowControl/>
              <w:spacing w:line="280" w:lineRule="exact"/>
              <w:jc w:val="center"/>
              <w:rPr>
                <w:rFonts w:eastAsia="仿宋" w:cs="Times New Roman"/>
                <w:kern w:val="0"/>
                <w:sz w:val="24"/>
                <w:szCs w:val="24"/>
              </w:rPr>
            </w:pPr>
            <w:r>
              <w:rPr>
                <w:rFonts w:eastAsia="仿宋" w:cs="Times New Roman"/>
                <w:kern w:val="0"/>
                <w:sz w:val="24"/>
                <w:szCs w:val="24"/>
              </w:rPr>
              <w:t>目标</w:t>
            </w:r>
            <w:r>
              <w:rPr>
                <w:rFonts w:eastAsia="仿宋" w:cs="Times New Roman"/>
                <w:kern w:val="0"/>
                <w:sz w:val="24"/>
                <w:szCs w:val="24"/>
              </w:rPr>
              <w:br w:type="textWrapping"/>
            </w:r>
            <w:r>
              <w:rPr>
                <w:rFonts w:eastAsia="仿宋" w:cs="Times New Roman"/>
                <w:kern w:val="0"/>
                <w:sz w:val="24"/>
                <w:szCs w:val="24"/>
              </w:rPr>
              <w:t>设定</w:t>
            </w:r>
          </w:p>
        </w:tc>
        <w:tc>
          <w:tcPr>
            <w:tcW w:w="548" w:type="dxa"/>
            <w:vMerge w:val="restart"/>
            <w:tcBorders>
              <w:top w:val="single" w:color="auto" w:sz="4" w:space="0"/>
              <w:left w:val="single" w:color="auto" w:sz="4" w:space="0"/>
              <w:bottom w:val="single" w:color="auto" w:sz="4" w:space="0"/>
              <w:right w:val="single" w:color="auto" w:sz="4" w:space="0"/>
            </w:tcBorders>
            <w:noWrap w:val="0"/>
            <w:vAlign w:val="center"/>
          </w:tcPr>
          <w:p w14:paraId="29FB7CA8">
            <w:pPr>
              <w:widowControl/>
              <w:spacing w:line="280" w:lineRule="exact"/>
              <w:jc w:val="center"/>
              <w:rPr>
                <w:rFonts w:eastAsia="仿宋" w:cs="Times New Roman"/>
                <w:kern w:val="0"/>
                <w:sz w:val="24"/>
                <w:szCs w:val="24"/>
              </w:rPr>
            </w:pPr>
            <w:r>
              <w:rPr>
                <w:rFonts w:eastAsia="仿宋" w:cs="Times New Roman"/>
                <w:kern w:val="0"/>
                <w:sz w:val="24"/>
                <w:szCs w:val="24"/>
              </w:rPr>
              <w:t>10</w:t>
            </w:r>
          </w:p>
        </w:tc>
        <w:tc>
          <w:tcPr>
            <w:tcW w:w="676" w:type="dxa"/>
            <w:tcBorders>
              <w:top w:val="single" w:color="auto" w:sz="4" w:space="0"/>
              <w:left w:val="nil"/>
              <w:bottom w:val="single" w:color="auto" w:sz="4" w:space="0"/>
              <w:right w:val="single" w:color="auto" w:sz="4" w:space="0"/>
            </w:tcBorders>
            <w:noWrap w:val="0"/>
            <w:vAlign w:val="center"/>
          </w:tcPr>
          <w:p w14:paraId="0D883893">
            <w:pPr>
              <w:widowControl/>
              <w:spacing w:line="280" w:lineRule="exact"/>
              <w:jc w:val="left"/>
              <w:rPr>
                <w:rFonts w:eastAsia="仿宋" w:cs="Times New Roman"/>
                <w:kern w:val="0"/>
                <w:sz w:val="24"/>
                <w:szCs w:val="24"/>
              </w:rPr>
            </w:pPr>
            <w:r>
              <w:rPr>
                <w:rFonts w:eastAsia="仿宋" w:cs="Times New Roman"/>
                <w:kern w:val="0"/>
                <w:sz w:val="24"/>
                <w:szCs w:val="24"/>
              </w:rPr>
              <w:t>绩效目标合理性</w:t>
            </w:r>
          </w:p>
        </w:tc>
        <w:tc>
          <w:tcPr>
            <w:tcW w:w="516" w:type="dxa"/>
            <w:tcBorders>
              <w:top w:val="single" w:color="auto" w:sz="4" w:space="0"/>
              <w:left w:val="nil"/>
              <w:bottom w:val="single" w:color="auto" w:sz="4" w:space="0"/>
              <w:right w:val="single" w:color="auto" w:sz="4" w:space="0"/>
            </w:tcBorders>
            <w:noWrap w:val="0"/>
            <w:vAlign w:val="center"/>
          </w:tcPr>
          <w:p w14:paraId="389C29B2">
            <w:pPr>
              <w:widowControl/>
              <w:spacing w:line="280" w:lineRule="exact"/>
              <w:jc w:val="center"/>
              <w:rPr>
                <w:rFonts w:eastAsia="仿宋" w:cs="Times New Roman"/>
                <w:kern w:val="0"/>
                <w:sz w:val="24"/>
                <w:szCs w:val="24"/>
              </w:rPr>
            </w:pPr>
            <w:r>
              <w:rPr>
                <w:rFonts w:eastAsia="仿宋" w:cs="Times New Roman"/>
                <w:kern w:val="0"/>
                <w:sz w:val="24"/>
                <w:szCs w:val="24"/>
              </w:rPr>
              <w:t>3</w:t>
            </w:r>
          </w:p>
        </w:tc>
        <w:tc>
          <w:tcPr>
            <w:tcW w:w="3752" w:type="dxa"/>
            <w:tcBorders>
              <w:top w:val="single" w:color="auto" w:sz="4" w:space="0"/>
              <w:left w:val="nil"/>
              <w:bottom w:val="single" w:color="auto" w:sz="4" w:space="0"/>
              <w:right w:val="single" w:color="auto" w:sz="4" w:space="0"/>
            </w:tcBorders>
            <w:noWrap w:val="0"/>
            <w:vAlign w:val="center"/>
          </w:tcPr>
          <w:p w14:paraId="49A4E810">
            <w:pPr>
              <w:widowControl/>
              <w:spacing w:line="280" w:lineRule="exact"/>
              <w:jc w:val="left"/>
              <w:rPr>
                <w:rFonts w:eastAsia="仿宋" w:cs="Times New Roman"/>
                <w:kern w:val="0"/>
                <w:sz w:val="24"/>
                <w:szCs w:val="24"/>
              </w:rPr>
            </w:pPr>
            <w:r>
              <w:rPr>
                <w:rFonts w:eastAsia="仿宋" w:cs="Times New Roman"/>
                <w:kern w:val="0"/>
                <w:sz w:val="24"/>
                <w:szCs w:val="24"/>
              </w:rPr>
              <w:t xml:space="preserve">  部门所设立的整体绩效目标依据是否充分，是否符合客观实际，用以反映和考核部门整体绩效目标与部门履职、年度工作任务的相符性情况。</w:t>
            </w:r>
          </w:p>
        </w:tc>
        <w:tc>
          <w:tcPr>
            <w:tcW w:w="3036" w:type="dxa"/>
            <w:tcBorders>
              <w:top w:val="single" w:color="auto" w:sz="4" w:space="0"/>
              <w:left w:val="nil"/>
              <w:bottom w:val="single" w:color="auto" w:sz="4" w:space="0"/>
              <w:right w:val="single" w:color="auto" w:sz="4" w:space="0"/>
            </w:tcBorders>
            <w:noWrap w:val="0"/>
            <w:vAlign w:val="center"/>
          </w:tcPr>
          <w:p w14:paraId="64B3C1D9">
            <w:pPr>
              <w:widowControl/>
              <w:spacing w:line="280" w:lineRule="exact"/>
              <w:jc w:val="left"/>
              <w:rPr>
                <w:rFonts w:eastAsia="仿宋" w:cs="Times New Roman"/>
                <w:kern w:val="0"/>
                <w:sz w:val="24"/>
                <w:szCs w:val="24"/>
              </w:rPr>
            </w:pPr>
            <w:r>
              <w:rPr>
                <w:rFonts w:hint="eastAsia" w:ascii="宋体" w:hAnsi="宋体" w:cs="宋体"/>
                <w:kern w:val="0"/>
                <w:sz w:val="24"/>
                <w:szCs w:val="24"/>
              </w:rPr>
              <w:t>①</w:t>
            </w:r>
            <w:r>
              <w:rPr>
                <w:rFonts w:eastAsia="仿宋" w:cs="Times New Roman"/>
                <w:kern w:val="0"/>
                <w:sz w:val="24"/>
                <w:szCs w:val="24"/>
              </w:rPr>
              <w:t>符合国家法律法规、国民经济和社会发展总体规划，得1分；</w:t>
            </w:r>
            <w:r>
              <w:rPr>
                <w:rFonts w:eastAsia="仿宋" w:cs="Times New Roman"/>
                <w:kern w:val="0"/>
                <w:sz w:val="24"/>
                <w:szCs w:val="24"/>
              </w:rPr>
              <w:br w:type="textWrapping"/>
            </w:r>
            <w:r>
              <w:rPr>
                <w:rFonts w:hint="eastAsia" w:ascii="宋体" w:hAnsi="宋体" w:cs="宋体"/>
                <w:kern w:val="0"/>
                <w:sz w:val="24"/>
                <w:szCs w:val="24"/>
              </w:rPr>
              <w:t>②</w:t>
            </w:r>
            <w:r>
              <w:rPr>
                <w:rFonts w:eastAsia="仿宋" w:cs="Times New Roman"/>
                <w:kern w:val="0"/>
                <w:sz w:val="24"/>
                <w:szCs w:val="24"/>
              </w:rPr>
              <w:t>符合部门“三定”方案确定的职责，得1分；</w:t>
            </w:r>
            <w:r>
              <w:rPr>
                <w:rFonts w:eastAsia="仿宋" w:cs="Times New Roman"/>
                <w:kern w:val="0"/>
                <w:sz w:val="24"/>
                <w:szCs w:val="24"/>
              </w:rPr>
              <w:br w:type="textWrapping"/>
            </w:r>
            <w:r>
              <w:rPr>
                <w:rFonts w:hint="eastAsia" w:ascii="宋体" w:hAnsi="宋体" w:cs="宋体"/>
                <w:kern w:val="0"/>
                <w:sz w:val="24"/>
                <w:szCs w:val="24"/>
              </w:rPr>
              <w:t>③</w:t>
            </w:r>
            <w:r>
              <w:rPr>
                <w:rFonts w:eastAsia="仿宋" w:cs="Times New Roman"/>
                <w:kern w:val="0"/>
                <w:sz w:val="24"/>
                <w:szCs w:val="24"/>
              </w:rPr>
              <w:t>符合部门制定的中长期实施规划，得1分。</w:t>
            </w:r>
          </w:p>
        </w:tc>
        <w:tc>
          <w:tcPr>
            <w:tcW w:w="726" w:type="dxa"/>
            <w:tcBorders>
              <w:top w:val="single" w:color="auto" w:sz="4" w:space="0"/>
              <w:left w:val="nil"/>
              <w:bottom w:val="single" w:color="auto" w:sz="4" w:space="0"/>
              <w:right w:val="single" w:color="auto" w:sz="4" w:space="0"/>
            </w:tcBorders>
            <w:noWrap/>
            <w:vAlign w:val="center"/>
          </w:tcPr>
          <w:p w14:paraId="02C16999">
            <w:pPr>
              <w:widowControl/>
              <w:jc w:val="center"/>
              <w:rPr>
                <w:rFonts w:hint="eastAsia" w:eastAsia="仿宋" w:cs="Times New Roman"/>
                <w:kern w:val="0"/>
                <w:sz w:val="24"/>
                <w:szCs w:val="24"/>
                <w:lang w:eastAsia="zh-CN"/>
              </w:rPr>
            </w:pPr>
            <w:r>
              <w:rPr>
                <w:rFonts w:hint="eastAsia" w:eastAsia="仿宋" w:cs="Times New Roman"/>
                <w:kern w:val="0"/>
                <w:sz w:val="24"/>
                <w:szCs w:val="24"/>
                <w:lang w:val="en-US" w:eastAsia="zh-CN"/>
              </w:rPr>
              <w:t>3</w:t>
            </w:r>
          </w:p>
        </w:tc>
      </w:tr>
      <w:tr w14:paraId="31CCD5E2">
        <w:tblPrEx>
          <w:tblCellMar>
            <w:top w:w="0" w:type="dxa"/>
            <w:left w:w="108" w:type="dxa"/>
            <w:bottom w:w="0" w:type="dxa"/>
            <w:right w:w="108" w:type="dxa"/>
          </w:tblCellMar>
        </w:tblPrEx>
        <w:trPr>
          <w:trHeight w:val="2967"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30DD115A">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1FD4C5FF">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02D74CE8">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49922C14">
            <w:pPr>
              <w:widowControl/>
              <w:spacing w:line="280" w:lineRule="exact"/>
              <w:jc w:val="left"/>
              <w:rPr>
                <w:rFonts w:eastAsia="仿宋" w:cs="Times New Roman"/>
                <w:kern w:val="0"/>
                <w:sz w:val="24"/>
                <w:szCs w:val="24"/>
              </w:rPr>
            </w:pPr>
            <w:r>
              <w:rPr>
                <w:rFonts w:eastAsia="仿宋" w:cs="Times New Roman"/>
                <w:kern w:val="0"/>
                <w:sz w:val="24"/>
                <w:szCs w:val="24"/>
              </w:rPr>
              <w:t>绩效指标明确性</w:t>
            </w:r>
          </w:p>
        </w:tc>
        <w:tc>
          <w:tcPr>
            <w:tcW w:w="516" w:type="dxa"/>
            <w:tcBorders>
              <w:top w:val="single" w:color="auto" w:sz="4" w:space="0"/>
              <w:left w:val="nil"/>
              <w:bottom w:val="single" w:color="auto" w:sz="4" w:space="0"/>
              <w:right w:val="single" w:color="auto" w:sz="4" w:space="0"/>
            </w:tcBorders>
            <w:noWrap w:val="0"/>
            <w:vAlign w:val="center"/>
          </w:tcPr>
          <w:p w14:paraId="54D55302">
            <w:pPr>
              <w:widowControl/>
              <w:spacing w:line="280" w:lineRule="exact"/>
              <w:jc w:val="center"/>
              <w:rPr>
                <w:rFonts w:eastAsia="仿宋" w:cs="Times New Roman"/>
                <w:kern w:val="0"/>
                <w:sz w:val="24"/>
                <w:szCs w:val="24"/>
              </w:rPr>
            </w:pPr>
            <w:r>
              <w:rPr>
                <w:rFonts w:eastAsia="仿宋" w:cs="Times New Roman"/>
                <w:kern w:val="0"/>
                <w:sz w:val="24"/>
                <w:szCs w:val="24"/>
              </w:rPr>
              <w:t>7</w:t>
            </w:r>
          </w:p>
        </w:tc>
        <w:tc>
          <w:tcPr>
            <w:tcW w:w="3752" w:type="dxa"/>
            <w:tcBorders>
              <w:top w:val="single" w:color="auto" w:sz="4" w:space="0"/>
              <w:left w:val="nil"/>
              <w:bottom w:val="single" w:color="auto" w:sz="4" w:space="0"/>
              <w:right w:val="single" w:color="auto" w:sz="4" w:space="0"/>
            </w:tcBorders>
            <w:noWrap w:val="0"/>
            <w:vAlign w:val="center"/>
          </w:tcPr>
          <w:p w14:paraId="672CAA98">
            <w:pPr>
              <w:widowControl/>
              <w:spacing w:line="280" w:lineRule="exact"/>
              <w:jc w:val="left"/>
              <w:rPr>
                <w:rFonts w:eastAsia="仿宋" w:cs="Times New Roman"/>
                <w:kern w:val="0"/>
                <w:sz w:val="24"/>
                <w:szCs w:val="24"/>
              </w:rPr>
            </w:pPr>
            <w:r>
              <w:rPr>
                <w:rFonts w:eastAsia="仿宋" w:cs="Times New Roman"/>
                <w:kern w:val="0"/>
                <w:sz w:val="24"/>
                <w:szCs w:val="24"/>
              </w:rPr>
              <w:t xml:space="preserve">  部门依据整体绩效目标所设定的绩效指标是否清晰、细化、可衡量，用以反映和考核部门整体绩效目标的明细化情况。</w:t>
            </w:r>
          </w:p>
        </w:tc>
        <w:tc>
          <w:tcPr>
            <w:tcW w:w="3036" w:type="dxa"/>
            <w:tcBorders>
              <w:top w:val="single" w:color="auto" w:sz="4" w:space="0"/>
              <w:left w:val="nil"/>
              <w:bottom w:val="single" w:color="auto" w:sz="4" w:space="0"/>
              <w:right w:val="single" w:color="auto" w:sz="4" w:space="0"/>
            </w:tcBorders>
            <w:noWrap w:val="0"/>
            <w:vAlign w:val="center"/>
          </w:tcPr>
          <w:p w14:paraId="24335CCA">
            <w:pPr>
              <w:widowControl/>
              <w:spacing w:line="280" w:lineRule="exact"/>
              <w:jc w:val="left"/>
              <w:rPr>
                <w:rFonts w:eastAsia="仿宋" w:cs="Times New Roman"/>
                <w:kern w:val="0"/>
                <w:sz w:val="24"/>
                <w:szCs w:val="24"/>
              </w:rPr>
            </w:pPr>
            <w:r>
              <w:rPr>
                <w:rFonts w:hint="eastAsia" w:ascii="宋体" w:hAnsi="宋体" w:cs="宋体"/>
                <w:kern w:val="0"/>
                <w:sz w:val="24"/>
                <w:szCs w:val="24"/>
              </w:rPr>
              <w:t>①</w:t>
            </w:r>
            <w:r>
              <w:rPr>
                <w:rFonts w:eastAsia="仿宋" w:cs="Times New Roman"/>
                <w:kern w:val="0"/>
                <w:sz w:val="24"/>
                <w:szCs w:val="24"/>
              </w:rPr>
              <w:t>将部门整体的绩效目标细化分解为具体的工作任务，得1分；</w:t>
            </w:r>
            <w:r>
              <w:rPr>
                <w:rFonts w:eastAsia="仿宋" w:cs="Times New Roman"/>
                <w:kern w:val="0"/>
                <w:sz w:val="24"/>
                <w:szCs w:val="24"/>
              </w:rPr>
              <w:br w:type="textWrapping"/>
            </w:r>
            <w:r>
              <w:rPr>
                <w:rFonts w:hint="eastAsia" w:ascii="宋体" w:hAnsi="宋体" w:cs="宋体"/>
                <w:kern w:val="0"/>
                <w:sz w:val="24"/>
                <w:szCs w:val="24"/>
              </w:rPr>
              <w:t>②</w:t>
            </w:r>
            <w:r>
              <w:rPr>
                <w:rFonts w:eastAsia="仿宋" w:cs="Times New Roman"/>
                <w:kern w:val="0"/>
                <w:sz w:val="24"/>
                <w:szCs w:val="24"/>
              </w:rPr>
              <w:t xml:space="preserve">通过清晰、可衡量的指标值予以体现，得2分；   </w:t>
            </w:r>
            <w:r>
              <w:rPr>
                <w:rFonts w:eastAsia="仿宋" w:cs="Times New Roman"/>
                <w:kern w:val="0"/>
                <w:sz w:val="24"/>
                <w:szCs w:val="24"/>
              </w:rPr>
              <w:br w:type="textWrapping"/>
            </w:r>
            <w:r>
              <w:rPr>
                <w:rFonts w:hint="eastAsia" w:ascii="宋体" w:hAnsi="宋体" w:cs="宋体"/>
                <w:kern w:val="0"/>
                <w:sz w:val="24"/>
                <w:szCs w:val="24"/>
              </w:rPr>
              <w:t>③</w:t>
            </w:r>
            <w:r>
              <w:rPr>
                <w:rFonts w:eastAsia="仿宋" w:cs="Times New Roman"/>
                <w:kern w:val="0"/>
                <w:sz w:val="24"/>
                <w:szCs w:val="24"/>
              </w:rPr>
              <w:t>与部门年度的任务数或计划数相对应，得2分；</w:t>
            </w:r>
            <w:r>
              <w:rPr>
                <w:rFonts w:eastAsia="仿宋" w:cs="Times New Roman"/>
                <w:kern w:val="0"/>
                <w:sz w:val="24"/>
                <w:szCs w:val="24"/>
              </w:rPr>
              <w:br w:type="textWrapping"/>
            </w:r>
            <w:r>
              <w:rPr>
                <w:rFonts w:hint="eastAsia" w:ascii="宋体" w:hAnsi="宋体" w:cs="宋体"/>
                <w:kern w:val="0"/>
                <w:sz w:val="24"/>
                <w:szCs w:val="24"/>
              </w:rPr>
              <w:t>④</w:t>
            </w:r>
            <w:r>
              <w:rPr>
                <w:rFonts w:eastAsia="仿宋" w:cs="Times New Roman"/>
                <w:kern w:val="0"/>
                <w:sz w:val="24"/>
                <w:szCs w:val="24"/>
              </w:rPr>
              <w:t>与本年度部门预算资金相匹配，得2分。</w:t>
            </w:r>
          </w:p>
        </w:tc>
        <w:tc>
          <w:tcPr>
            <w:tcW w:w="726" w:type="dxa"/>
            <w:tcBorders>
              <w:top w:val="single" w:color="auto" w:sz="4" w:space="0"/>
              <w:left w:val="nil"/>
              <w:bottom w:val="single" w:color="auto" w:sz="4" w:space="0"/>
              <w:right w:val="single" w:color="auto" w:sz="4" w:space="0"/>
            </w:tcBorders>
            <w:noWrap/>
            <w:vAlign w:val="center"/>
          </w:tcPr>
          <w:p w14:paraId="596B1F28">
            <w:pPr>
              <w:widowControl/>
              <w:jc w:val="left"/>
              <w:rPr>
                <w:rFonts w:eastAsia="仿宋" w:cs="Times New Roman"/>
                <w:kern w:val="0"/>
                <w:sz w:val="24"/>
                <w:szCs w:val="24"/>
              </w:rPr>
            </w:pPr>
            <w:r>
              <w:rPr>
                <w:rFonts w:eastAsia="仿宋" w:cs="Times New Roman"/>
                <w:kern w:val="0"/>
                <w:sz w:val="24"/>
                <w:szCs w:val="24"/>
              </w:rPr>
              <w:t>　7</w:t>
            </w:r>
          </w:p>
        </w:tc>
      </w:tr>
      <w:tr w14:paraId="52DC83C7">
        <w:tblPrEx>
          <w:tblCellMar>
            <w:top w:w="0" w:type="dxa"/>
            <w:left w:w="108" w:type="dxa"/>
            <w:bottom w:w="0" w:type="dxa"/>
            <w:right w:w="108" w:type="dxa"/>
          </w:tblCellMar>
        </w:tblPrEx>
        <w:trPr>
          <w:trHeight w:val="3520"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2D57F2C1">
            <w:pPr>
              <w:widowControl/>
              <w:spacing w:line="280" w:lineRule="exact"/>
              <w:jc w:val="left"/>
              <w:rPr>
                <w:rFonts w:eastAsia="仿宋" w:cs="Times New Roman"/>
                <w:kern w:val="0"/>
                <w:sz w:val="24"/>
                <w:szCs w:val="24"/>
              </w:rPr>
            </w:pPr>
          </w:p>
        </w:tc>
        <w:tc>
          <w:tcPr>
            <w:tcW w:w="638" w:type="dxa"/>
            <w:vMerge w:val="restart"/>
            <w:tcBorders>
              <w:top w:val="single" w:color="auto" w:sz="4" w:space="0"/>
              <w:left w:val="single" w:color="auto" w:sz="4" w:space="0"/>
              <w:bottom w:val="single" w:color="auto" w:sz="4" w:space="0"/>
              <w:right w:val="single" w:color="auto" w:sz="4" w:space="0"/>
            </w:tcBorders>
            <w:noWrap w:val="0"/>
            <w:vAlign w:val="center"/>
          </w:tcPr>
          <w:p w14:paraId="540E9E1D">
            <w:pPr>
              <w:widowControl/>
              <w:spacing w:line="280" w:lineRule="exact"/>
              <w:jc w:val="center"/>
              <w:rPr>
                <w:rFonts w:eastAsia="仿宋" w:cs="Times New Roman"/>
                <w:kern w:val="0"/>
                <w:sz w:val="24"/>
                <w:szCs w:val="24"/>
              </w:rPr>
            </w:pPr>
            <w:r>
              <w:rPr>
                <w:rFonts w:eastAsia="仿宋" w:cs="Times New Roman"/>
                <w:kern w:val="0"/>
                <w:sz w:val="24"/>
                <w:szCs w:val="24"/>
              </w:rPr>
              <w:t>预算</w:t>
            </w:r>
            <w:r>
              <w:rPr>
                <w:rFonts w:eastAsia="仿宋" w:cs="Times New Roman"/>
                <w:kern w:val="0"/>
                <w:sz w:val="24"/>
                <w:szCs w:val="24"/>
              </w:rPr>
              <w:br w:type="textWrapping"/>
            </w:r>
            <w:r>
              <w:rPr>
                <w:rFonts w:eastAsia="仿宋" w:cs="Times New Roman"/>
                <w:kern w:val="0"/>
                <w:sz w:val="24"/>
                <w:szCs w:val="24"/>
              </w:rPr>
              <w:t>配置</w:t>
            </w:r>
          </w:p>
        </w:tc>
        <w:tc>
          <w:tcPr>
            <w:tcW w:w="548" w:type="dxa"/>
            <w:vMerge w:val="restart"/>
            <w:tcBorders>
              <w:top w:val="single" w:color="auto" w:sz="4" w:space="0"/>
              <w:left w:val="single" w:color="auto" w:sz="4" w:space="0"/>
              <w:bottom w:val="single" w:color="auto" w:sz="4" w:space="0"/>
              <w:right w:val="single" w:color="auto" w:sz="4" w:space="0"/>
            </w:tcBorders>
            <w:noWrap w:val="0"/>
            <w:vAlign w:val="center"/>
          </w:tcPr>
          <w:p w14:paraId="05A6D6AE">
            <w:pPr>
              <w:widowControl/>
              <w:spacing w:line="280" w:lineRule="exact"/>
              <w:jc w:val="center"/>
              <w:rPr>
                <w:rFonts w:eastAsia="仿宋" w:cs="Times New Roman"/>
                <w:kern w:val="0"/>
                <w:sz w:val="24"/>
                <w:szCs w:val="24"/>
              </w:rPr>
            </w:pPr>
            <w:r>
              <w:rPr>
                <w:rFonts w:eastAsia="仿宋" w:cs="Times New Roman"/>
                <w:kern w:val="0"/>
                <w:sz w:val="24"/>
                <w:szCs w:val="24"/>
              </w:rPr>
              <w:t>5</w:t>
            </w:r>
          </w:p>
        </w:tc>
        <w:tc>
          <w:tcPr>
            <w:tcW w:w="676" w:type="dxa"/>
            <w:tcBorders>
              <w:top w:val="single" w:color="auto" w:sz="4" w:space="0"/>
              <w:left w:val="nil"/>
              <w:bottom w:val="single" w:color="auto" w:sz="4" w:space="0"/>
              <w:right w:val="single" w:color="auto" w:sz="4" w:space="0"/>
            </w:tcBorders>
            <w:noWrap w:val="0"/>
            <w:vAlign w:val="center"/>
          </w:tcPr>
          <w:p w14:paraId="5B272393">
            <w:pPr>
              <w:widowControl/>
              <w:spacing w:line="280" w:lineRule="exact"/>
              <w:jc w:val="left"/>
              <w:rPr>
                <w:rFonts w:eastAsia="仿宋" w:cs="Times New Roman"/>
                <w:kern w:val="0"/>
                <w:sz w:val="24"/>
                <w:szCs w:val="24"/>
              </w:rPr>
            </w:pPr>
            <w:r>
              <w:rPr>
                <w:rFonts w:eastAsia="仿宋" w:cs="Times New Roman"/>
                <w:kern w:val="0"/>
                <w:sz w:val="24"/>
                <w:szCs w:val="24"/>
              </w:rPr>
              <w:t>在职人员控制率</w:t>
            </w:r>
          </w:p>
        </w:tc>
        <w:tc>
          <w:tcPr>
            <w:tcW w:w="516" w:type="dxa"/>
            <w:tcBorders>
              <w:top w:val="single" w:color="auto" w:sz="4" w:space="0"/>
              <w:left w:val="nil"/>
              <w:bottom w:val="single" w:color="auto" w:sz="4" w:space="0"/>
              <w:right w:val="single" w:color="auto" w:sz="4" w:space="0"/>
            </w:tcBorders>
            <w:noWrap w:val="0"/>
            <w:vAlign w:val="center"/>
          </w:tcPr>
          <w:p w14:paraId="353D899A">
            <w:pPr>
              <w:widowControl/>
              <w:spacing w:line="280" w:lineRule="exact"/>
              <w:jc w:val="center"/>
              <w:rPr>
                <w:rFonts w:hint="eastAsia" w:eastAsia="仿宋" w:cs="Times New Roman"/>
                <w:kern w:val="0"/>
                <w:sz w:val="24"/>
                <w:szCs w:val="24"/>
                <w:lang w:eastAsia="zh-CN"/>
              </w:rPr>
            </w:pPr>
            <w:r>
              <w:rPr>
                <w:rFonts w:hint="eastAsia" w:eastAsia="仿宋" w:cs="Times New Roman"/>
                <w:kern w:val="0"/>
                <w:sz w:val="24"/>
                <w:szCs w:val="24"/>
                <w:lang w:val="en-US" w:eastAsia="zh-CN"/>
              </w:rPr>
              <w:t>1</w:t>
            </w:r>
          </w:p>
        </w:tc>
        <w:tc>
          <w:tcPr>
            <w:tcW w:w="3752" w:type="dxa"/>
            <w:tcBorders>
              <w:top w:val="single" w:color="auto" w:sz="4" w:space="0"/>
              <w:left w:val="nil"/>
              <w:bottom w:val="single" w:color="auto" w:sz="4" w:space="0"/>
              <w:right w:val="single" w:color="auto" w:sz="4" w:space="0"/>
            </w:tcBorders>
            <w:noWrap w:val="0"/>
            <w:vAlign w:val="center"/>
          </w:tcPr>
          <w:p w14:paraId="73FCEEB0">
            <w:pPr>
              <w:widowControl/>
              <w:spacing w:line="280" w:lineRule="exact"/>
              <w:jc w:val="left"/>
              <w:rPr>
                <w:rFonts w:eastAsia="仿宋" w:cs="Times New Roman"/>
                <w:kern w:val="0"/>
                <w:sz w:val="24"/>
                <w:szCs w:val="24"/>
              </w:rPr>
            </w:pPr>
            <w:r>
              <w:rPr>
                <w:rFonts w:eastAsia="仿宋" w:cs="Times New Roman"/>
                <w:kern w:val="0"/>
                <w:sz w:val="24"/>
                <w:szCs w:val="24"/>
              </w:rPr>
              <w:t xml:space="preserve">  部门本年度实际在职人员数与编制数的比率，用以反映和考核部门对人员成本的控制程度。</w:t>
            </w:r>
            <w:r>
              <w:rPr>
                <w:rFonts w:eastAsia="仿宋" w:cs="Times New Roman"/>
                <w:kern w:val="0"/>
                <w:sz w:val="24"/>
                <w:szCs w:val="24"/>
              </w:rPr>
              <w:br w:type="textWrapping"/>
            </w:r>
            <w:r>
              <w:rPr>
                <w:rFonts w:eastAsia="仿宋" w:cs="Times New Roman"/>
                <w:kern w:val="0"/>
                <w:sz w:val="24"/>
                <w:szCs w:val="24"/>
              </w:rPr>
              <w:t xml:space="preserve">  在职人员控制率=（在职人员数/编制数）×100%。</w:t>
            </w:r>
            <w:r>
              <w:rPr>
                <w:rFonts w:eastAsia="仿宋" w:cs="Times New Roman"/>
                <w:kern w:val="0"/>
                <w:sz w:val="24"/>
                <w:szCs w:val="24"/>
              </w:rPr>
              <w:br w:type="textWrapping"/>
            </w:r>
            <w:r>
              <w:rPr>
                <w:rFonts w:eastAsia="仿宋" w:cs="Times New Roman"/>
                <w:kern w:val="0"/>
                <w:sz w:val="24"/>
                <w:szCs w:val="24"/>
              </w:rPr>
              <w:t xml:space="preserve">  在职人员数：部门实际在职人数，以财政部确定的部门决算编制口径为准。扣掉编制部门和劳动部门批复同意的临聘人员。</w:t>
            </w:r>
            <w:r>
              <w:rPr>
                <w:rFonts w:eastAsia="仿宋" w:cs="Times New Roman"/>
                <w:kern w:val="0"/>
                <w:sz w:val="24"/>
                <w:szCs w:val="24"/>
              </w:rPr>
              <w:br w:type="textWrapping"/>
            </w:r>
            <w:r>
              <w:rPr>
                <w:rFonts w:eastAsia="仿宋" w:cs="Times New Roman"/>
                <w:kern w:val="0"/>
                <w:sz w:val="24"/>
                <w:szCs w:val="24"/>
              </w:rPr>
              <w:t xml:space="preserve">  编制数：机构编制部门核定批复的部门的人员编制数。</w:t>
            </w:r>
          </w:p>
        </w:tc>
        <w:tc>
          <w:tcPr>
            <w:tcW w:w="3036" w:type="dxa"/>
            <w:tcBorders>
              <w:top w:val="single" w:color="auto" w:sz="4" w:space="0"/>
              <w:left w:val="nil"/>
              <w:bottom w:val="single" w:color="auto" w:sz="4" w:space="0"/>
              <w:right w:val="single" w:color="auto" w:sz="4" w:space="0"/>
            </w:tcBorders>
            <w:noWrap w:val="0"/>
            <w:vAlign w:val="center"/>
          </w:tcPr>
          <w:p w14:paraId="5386A4B0">
            <w:pPr>
              <w:widowControl/>
              <w:spacing w:line="280" w:lineRule="exact"/>
              <w:jc w:val="left"/>
              <w:rPr>
                <w:rFonts w:eastAsia="仿宋" w:cs="Times New Roman"/>
                <w:kern w:val="0"/>
                <w:sz w:val="24"/>
                <w:szCs w:val="24"/>
              </w:rPr>
            </w:pPr>
            <w:r>
              <w:rPr>
                <w:rFonts w:eastAsia="仿宋" w:cs="Times New Roman"/>
                <w:kern w:val="0"/>
                <w:sz w:val="24"/>
                <w:szCs w:val="24"/>
              </w:rPr>
              <w:t>在职人员控制率≤100%，得1分；</w:t>
            </w:r>
            <w:r>
              <w:rPr>
                <w:rFonts w:eastAsia="仿宋" w:cs="Times New Roman"/>
                <w:kern w:val="0"/>
                <w:sz w:val="24"/>
                <w:szCs w:val="24"/>
              </w:rPr>
              <w:br w:type="textWrapping"/>
            </w:r>
            <w:r>
              <w:rPr>
                <w:rFonts w:eastAsia="仿宋" w:cs="Times New Roman"/>
                <w:kern w:val="0"/>
                <w:sz w:val="24"/>
                <w:szCs w:val="24"/>
              </w:rPr>
              <w:t>每超过一个百分点扣0.5分，扣完为止。</w:t>
            </w:r>
          </w:p>
        </w:tc>
        <w:tc>
          <w:tcPr>
            <w:tcW w:w="726" w:type="dxa"/>
            <w:tcBorders>
              <w:top w:val="single" w:color="auto" w:sz="4" w:space="0"/>
              <w:left w:val="nil"/>
              <w:bottom w:val="single" w:color="auto" w:sz="4" w:space="0"/>
              <w:right w:val="single" w:color="auto" w:sz="4" w:space="0"/>
            </w:tcBorders>
            <w:noWrap/>
            <w:vAlign w:val="center"/>
          </w:tcPr>
          <w:p w14:paraId="291528CB">
            <w:pPr>
              <w:widowControl/>
              <w:jc w:val="left"/>
              <w:rPr>
                <w:rFonts w:hint="eastAsia" w:eastAsia="仿宋" w:cs="Times New Roman"/>
                <w:kern w:val="0"/>
                <w:sz w:val="24"/>
                <w:szCs w:val="24"/>
                <w:lang w:val="en-US" w:eastAsia="zh-CN"/>
              </w:rPr>
            </w:pPr>
            <w:r>
              <w:rPr>
                <w:rFonts w:eastAsia="仿宋" w:cs="Times New Roman"/>
                <w:kern w:val="0"/>
                <w:sz w:val="24"/>
                <w:szCs w:val="24"/>
              </w:rPr>
              <w:t>　</w:t>
            </w:r>
            <w:r>
              <w:rPr>
                <w:rFonts w:hint="eastAsia" w:eastAsia="仿宋" w:cs="Times New Roman"/>
                <w:kern w:val="0"/>
                <w:sz w:val="24"/>
                <w:szCs w:val="24"/>
                <w:lang w:val="en-US" w:eastAsia="zh-CN"/>
              </w:rPr>
              <w:t>1</w:t>
            </w:r>
          </w:p>
        </w:tc>
      </w:tr>
      <w:tr w14:paraId="47517BB1">
        <w:tblPrEx>
          <w:tblCellMar>
            <w:top w:w="0" w:type="dxa"/>
            <w:left w:w="108" w:type="dxa"/>
            <w:bottom w:w="0" w:type="dxa"/>
            <w:right w:w="108" w:type="dxa"/>
          </w:tblCellMar>
        </w:tblPrEx>
        <w:trPr>
          <w:trHeight w:val="3392"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72BD4212">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4D63A9B7">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43181875">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6CDD185D">
            <w:pPr>
              <w:widowControl/>
              <w:spacing w:line="280" w:lineRule="exact"/>
              <w:jc w:val="left"/>
              <w:rPr>
                <w:rFonts w:eastAsia="仿宋" w:cs="Times New Roman"/>
                <w:kern w:val="0"/>
                <w:sz w:val="24"/>
                <w:szCs w:val="24"/>
              </w:rPr>
            </w:pPr>
            <w:r>
              <w:rPr>
                <w:rFonts w:eastAsia="仿宋" w:cs="Times New Roman"/>
                <w:kern w:val="0"/>
                <w:sz w:val="24"/>
                <w:szCs w:val="24"/>
              </w:rPr>
              <w:t>“三公经费”变动率</w:t>
            </w:r>
          </w:p>
        </w:tc>
        <w:tc>
          <w:tcPr>
            <w:tcW w:w="516" w:type="dxa"/>
            <w:tcBorders>
              <w:top w:val="single" w:color="auto" w:sz="4" w:space="0"/>
              <w:left w:val="nil"/>
              <w:bottom w:val="single" w:color="auto" w:sz="4" w:space="0"/>
              <w:right w:val="single" w:color="auto" w:sz="4" w:space="0"/>
            </w:tcBorders>
            <w:noWrap w:val="0"/>
            <w:vAlign w:val="center"/>
          </w:tcPr>
          <w:p w14:paraId="6F6B4107">
            <w:pPr>
              <w:widowControl/>
              <w:spacing w:line="280" w:lineRule="exact"/>
              <w:jc w:val="center"/>
              <w:rPr>
                <w:rFonts w:eastAsia="仿宋" w:cs="Times New Roman"/>
                <w:kern w:val="0"/>
                <w:sz w:val="24"/>
                <w:szCs w:val="24"/>
              </w:rPr>
            </w:pPr>
            <w:r>
              <w:rPr>
                <w:rFonts w:eastAsia="仿宋" w:cs="Times New Roman"/>
                <w:kern w:val="0"/>
                <w:sz w:val="24"/>
                <w:szCs w:val="24"/>
              </w:rPr>
              <w:t>1</w:t>
            </w:r>
          </w:p>
        </w:tc>
        <w:tc>
          <w:tcPr>
            <w:tcW w:w="3752" w:type="dxa"/>
            <w:tcBorders>
              <w:top w:val="single" w:color="auto" w:sz="4" w:space="0"/>
              <w:left w:val="nil"/>
              <w:bottom w:val="single" w:color="auto" w:sz="4" w:space="0"/>
              <w:right w:val="single" w:color="auto" w:sz="4" w:space="0"/>
            </w:tcBorders>
            <w:noWrap w:val="0"/>
            <w:vAlign w:val="center"/>
          </w:tcPr>
          <w:p w14:paraId="3E001555">
            <w:pPr>
              <w:widowControl/>
              <w:spacing w:line="280" w:lineRule="exact"/>
              <w:jc w:val="left"/>
              <w:rPr>
                <w:rFonts w:eastAsia="仿宋" w:cs="Times New Roman"/>
                <w:kern w:val="0"/>
                <w:sz w:val="24"/>
                <w:szCs w:val="24"/>
              </w:rPr>
            </w:pPr>
            <w:r>
              <w:rPr>
                <w:rFonts w:eastAsia="仿宋" w:cs="Times New Roman"/>
                <w:kern w:val="0"/>
                <w:sz w:val="24"/>
                <w:szCs w:val="24"/>
              </w:rPr>
              <w:t xml:space="preserve">  部门本年度“三公经费”预算数与上年度“三公经费”预算数的变动比率，用以反映和考核部门对控制重点行政成本的努力程度。</w:t>
            </w:r>
            <w:r>
              <w:rPr>
                <w:rFonts w:eastAsia="仿宋" w:cs="Times New Roman"/>
                <w:kern w:val="0"/>
                <w:sz w:val="24"/>
                <w:szCs w:val="24"/>
              </w:rPr>
              <w:br w:type="textWrapping"/>
            </w:r>
            <w:r>
              <w:rPr>
                <w:rFonts w:eastAsia="仿宋" w:cs="Times New Roman"/>
                <w:kern w:val="0"/>
                <w:sz w:val="24"/>
                <w:szCs w:val="24"/>
              </w:rPr>
              <w:t xml:space="preserve">  “三公经费”变动率=[（本年度“三公经费”预算数-上年度“三公经费”预算数）/上年度“三公经费”预算数]×100%。</w:t>
            </w:r>
            <w:r>
              <w:rPr>
                <w:rFonts w:eastAsia="仿宋" w:cs="Times New Roman"/>
                <w:kern w:val="0"/>
                <w:sz w:val="24"/>
                <w:szCs w:val="24"/>
              </w:rPr>
              <w:br w:type="textWrapping"/>
            </w:r>
            <w:r>
              <w:rPr>
                <w:rFonts w:eastAsia="仿宋" w:cs="Times New Roman"/>
                <w:kern w:val="0"/>
                <w:sz w:val="24"/>
                <w:szCs w:val="24"/>
              </w:rPr>
              <w:t xml:space="preserve">  三公经费：年度预算安排的因公出国（境）费、公务车辆购置及运行费和公务招待费。</w:t>
            </w:r>
          </w:p>
        </w:tc>
        <w:tc>
          <w:tcPr>
            <w:tcW w:w="3036" w:type="dxa"/>
            <w:tcBorders>
              <w:top w:val="single" w:color="auto" w:sz="4" w:space="0"/>
              <w:left w:val="nil"/>
              <w:bottom w:val="single" w:color="auto" w:sz="4" w:space="0"/>
              <w:right w:val="single" w:color="auto" w:sz="4" w:space="0"/>
            </w:tcBorders>
            <w:noWrap w:val="0"/>
            <w:vAlign w:val="center"/>
          </w:tcPr>
          <w:p w14:paraId="1ACAE641">
            <w:pPr>
              <w:widowControl/>
              <w:spacing w:line="280" w:lineRule="exact"/>
              <w:jc w:val="left"/>
              <w:rPr>
                <w:rFonts w:eastAsia="仿宋" w:cs="Times New Roman"/>
                <w:kern w:val="0"/>
                <w:sz w:val="24"/>
                <w:szCs w:val="24"/>
              </w:rPr>
            </w:pPr>
            <w:r>
              <w:rPr>
                <w:rFonts w:eastAsia="仿宋" w:cs="Times New Roman"/>
                <w:kern w:val="0"/>
                <w:sz w:val="24"/>
                <w:szCs w:val="24"/>
              </w:rPr>
              <w:t>“三公经费”变动率≤0，得1分；</w:t>
            </w:r>
            <w:r>
              <w:rPr>
                <w:rFonts w:eastAsia="仿宋" w:cs="Times New Roman"/>
                <w:kern w:val="0"/>
                <w:sz w:val="24"/>
                <w:szCs w:val="24"/>
              </w:rPr>
              <w:br w:type="textWrapping"/>
            </w:r>
            <w:r>
              <w:rPr>
                <w:rFonts w:eastAsia="仿宋" w:cs="Times New Roman"/>
                <w:kern w:val="0"/>
                <w:sz w:val="24"/>
                <w:szCs w:val="24"/>
              </w:rPr>
              <w:t>每超过一个百分点扣0.5分，扣完为止。</w:t>
            </w:r>
          </w:p>
        </w:tc>
        <w:tc>
          <w:tcPr>
            <w:tcW w:w="726" w:type="dxa"/>
            <w:tcBorders>
              <w:top w:val="single" w:color="auto" w:sz="4" w:space="0"/>
              <w:left w:val="nil"/>
              <w:bottom w:val="single" w:color="auto" w:sz="4" w:space="0"/>
              <w:right w:val="single" w:color="auto" w:sz="4" w:space="0"/>
            </w:tcBorders>
            <w:noWrap/>
            <w:vAlign w:val="center"/>
          </w:tcPr>
          <w:p w14:paraId="29C98519">
            <w:pPr>
              <w:widowControl/>
              <w:jc w:val="center"/>
              <w:rPr>
                <w:rFonts w:hint="eastAsia" w:eastAsia="仿宋" w:cs="Times New Roman"/>
                <w:kern w:val="0"/>
                <w:sz w:val="24"/>
                <w:szCs w:val="24"/>
                <w:lang w:eastAsia="zh-CN"/>
              </w:rPr>
            </w:pPr>
            <w:r>
              <w:rPr>
                <w:rFonts w:hint="eastAsia" w:eastAsia="仿宋" w:cs="Times New Roman"/>
                <w:kern w:val="0"/>
                <w:sz w:val="24"/>
                <w:szCs w:val="24"/>
                <w:lang w:val="en-US" w:eastAsia="zh-CN"/>
              </w:rPr>
              <w:t>1</w:t>
            </w:r>
          </w:p>
        </w:tc>
      </w:tr>
      <w:tr w14:paraId="24EDC768">
        <w:tblPrEx>
          <w:tblCellMar>
            <w:top w:w="0" w:type="dxa"/>
            <w:left w:w="108" w:type="dxa"/>
            <w:bottom w:w="0" w:type="dxa"/>
            <w:right w:w="108" w:type="dxa"/>
          </w:tblCellMar>
        </w:tblPrEx>
        <w:trPr>
          <w:trHeight w:val="3822"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4935896F">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2BDCD483">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2AB0449A">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1E9DD407">
            <w:pPr>
              <w:widowControl/>
              <w:spacing w:line="280" w:lineRule="exact"/>
              <w:jc w:val="left"/>
              <w:rPr>
                <w:rFonts w:eastAsia="仿宋" w:cs="Times New Roman"/>
                <w:kern w:val="0"/>
                <w:sz w:val="24"/>
                <w:szCs w:val="24"/>
              </w:rPr>
            </w:pPr>
            <w:r>
              <w:rPr>
                <w:rFonts w:eastAsia="仿宋" w:cs="Times New Roman"/>
                <w:kern w:val="0"/>
                <w:sz w:val="24"/>
                <w:szCs w:val="24"/>
              </w:rPr>
              <w:t>重点支出安排率</w:t>
            </w:r>
          </w:p>
        </w:tc>
        <w:tc>
          <w:tcPr>
            <w:tcW w:w="516" w:type="dxa"/>
            <w:tcBorders>
              <w:top w:val="single" w:color="auto" w:sz="4" w:space="0"/>
              <w:left w:val="nil"/>
              <w:bottom w:val="single" w:color="auto" w:sz="4" w:space="0"/>
              <w:right w:val="single" w:color="auto" w:sz="4" w:space="0"/>
            </w:tcBorders>
            <w:noWrap w:val="0"/>
            <w:vAlign w:val="center"/>
          </w:tcPr>
          <w:p w14:paraId="2B32B8B6">
            <w:pPr>
              <w:widowControl/>
              <w:spacing w:line="280" w:lineRule="exact"/>
              <w:jc w:val="center"/>
              <w:rPr>
                <w:rFonts w:eastAsia="仿宋" w:cs="Times New Roman"/>
                <w:kern w:val="0"/>
                <w:sz w:val="24"/>
                <w:szCs w:val="24"/>
              </w:rPr>
            </w:pPr>
            <w:r>
              <w:rPr>
                <w:rFonts w:eastAsia="仿宋" w:cs="Times New Roman"/>
                <w:kern w:val="0"/>
                <w:sz w:val="24"/>
                <w:szCs w:val="24"/>
              </w:rPr>
              <w:t>3</w:t>
            </w:r>
          </w:p>
        </w:tc>
        <w:tc>
          <w:tcPr>
            <w:tcW w:w="3752" w:type="dxa"/>
            <w:tcBorders>
              <w:top w:val="single" w:color="auto" w:sz="4" w:space="0"/>
              <w:left w:val="nil"/>
              <w:bottom w:val="single" w:color="auto" w:sz="4" w:space="0"/>
              <w:right w:val="single" w:color="auto" w:sz="4" w:space="0"/>
            </w:tcBorders>
            <w:noWrap w:val="0"/>
            <w:vAlign w:val="center"/>
          </w:tcPr>
          <w:p w14:paraId="27DBA6FE">
            <w:pPr>
              <w:widowControl/>
              <w:spacing w:line="280" w:lineRule="exact"/>
              <w:jc w:val="left"/>
              <w:rPr>
                <w:rFonts w:eastAsia="仿宋" w:cs="Times New Roman"/>
                <w:kern w:val="0"/>
                <w:sz w:val="24"/>
                <w:szCs w:val="24"/>
              </w:rPr>
            </w:pPr>
            <w:r>
              <w:rPr>
                <w:rFonts w:eastAsia="仿宋" w:cs="Times New Roman"/>
                <w:kern w:val="0"/>
                <w:sz w:val="24"/>
                <w:szCs w:val="24"/>
              </w:rPr>
              <w:t xml:space="preserve">  部门本年度预算安排的重点预算支出与部门预算总支出的比率，用以反映和考核部门对履行主要职责或完成重点任务的保障程度。</w:t>
            </w:r>
            <w:r>
              <w:rPr>
                <w:rFonts w:eastAsia="仿宋" w:cs="Times New Roman"/>
                <w:kern w:val="0"/>
                <w:sz w:val="24"/>
                <w:szCs w:val="24"/>
              </w:rPr>
              <w:br w:type="textWrapping"/>
            </w:r>
            <w:r>
              <w:rPr>
                <w:rFonts w:eastAsia="仿宋" w:cs="Times New Roman"/>
                <w:kern w:val="0"/>
                <w:sz w:val="24"/>
                <w:szCs w:val="24"/>
              </w:rPr>
              <w:t xml:space="preserve">  重点支出安排率=（重点预算支出/预算总支出）×100%。</w:t>
            </w:r>
            <w:r>
              <w:rPr>
                <w:rFonts w:eastAsia="仿宋" w:cs="Times New Roman"/>
                <w:kern w:val="0"/>
                <w:sz w:val="24"/>
                <w:szCs w:val="24"/>
              </w:rPr>
              <w:br w:type="textWrapping"/>
            </w:r>
            <w:r>
              <w:rPr>
                <w:rFonts w:eastAsia="仿宋" w:cs="Times New Roman"/>
                <w:kern w:val="0"/>
                <w:sz w:val="24"/>
                <w:szCs w:val="24"/>
              </w:rPr>
              <w:t xml:space="preserve">  重点预算支出：部门年度预算安排的，与本部门履职和发展密切相关、具有明显社会和经济影响、党委政府关心或社会比较关注的预算支出总额。</w:t>
            </w:r>
            <w:r>
              <w:rPr>
                <w:rFonts w:eastAsia="仿宋" w:cs="Times New Roman"/>
                <w:kern w:val="0"/>
                <w:sz w:val="24"/>
                <w:szCs w:val="24"/>
              </w:rPr>
              <w:br w:type="textWrapping"/>
            </w:r>
            <w:r>
              <w:rPr>
                <w:rFonts w:eastAsia="仿宋" w:cs="Times New Roman"/>
                <w:kern w:val="0"/>
                <w:sz w:val="24"/>
                <w:szCs w:val="24"/>
              </w:rPr>
              <w:t xml:space="preserve">  预算总支出：部门年度预算安排的预算支出总额。</w:t>
            </w:r>
          </w:p>
        </w:tc>
        <w:tc>
          <w:tcPr>
            <w:tcW w:w="3036" w:type="dxa"/>
            <w:tcBorders>
              <w:top w:val="single" w:color="auto" w:sz="4" w:space="0"/>
              <w:left w:val="nil"/>
              <w:bottom w:val="single" w:color="auto" w:sz="4" w:space="0"/>
              <w:right w:val="single" w:color="auto" w:sz="4" w:space="0"/>
            </w:tcBorders>
            <w:noWrap w:val="0"/>
            <w:vAlign w:val="center"/>
          </w:tcPr>
          <w:p w14:paraId="6340478D">
            <w:pPr>
              <w:widowControl/>
              <w:spacing w:line="280" w:lineRule="exact"/>
              <w:jc w:val="left"/>
              <w:rPr>
                <w:rFonts w:eastAsia="仿宋" w:cs="Times New Roman"/>
                <w:kern w:val="0"/>
                <w:sz w:val="24"/>
                <w:szCs w:val="24"/>
              </w:rPr>
            </w:pPr>
            <w:r>
              <w:rPr>
                <w:rFonts w:eastAsia="仿宋" w:cs="Times New Roman"/>
                <w:kern w:val="0"/>
                <w:sz w:val="24"/>
                <w:szCs w:val="24"/>
              </w:rPr>
              <w:t>重点支出安排率≥90%，得3分；</w:t>
            </w:r>
            <w:r>
              <w:rPr>
                <w:rFonts w:eastAsia="仿宋" w:cs="Times New Roman"/>
                <w:kern w:val="0"/>
                <w:sz w:val="24"/>
                <w:szCs w:val="24"/>
              </w:rPr>
              <w:br w:type="textWrapping"/>
            </w:r>
            <w:r>
              <w:rPr>
                <w:rFonts w:eastAsia="仿宋" w:cs="Times New Roman"/>
                <w:kern w:val="0"/>
                <w:sz w:val="24"/>
                <w:szCs w:val="24"/>
              </w:rPr>
              <w:t>80%（含）-90%，得2分；</w:t>
            </w:r>
            <w:r>
              <w:rPr>
                <w:rFonts w:eastAsia="仿宋" w:cs="Times New Roman"/>
                <w:kern w:val="0"/>
                <w:sz w:val="24"/>
                <w:szCs w:val="24"/>
              </w:rPr>
              <w:br w:type="textWrapping"/>
            </w:r>
            <w:r>
              <w:rPr>
                <w:rFonts w:eastAsia="仿宋" w:cs="Times New Roman"/>
                <w:kern w:val="0"/>
                <w:sz w:val="24"/>
                <w:szCs w:val="24"/>
              </w:rPr>
              <w:t>70%（含）-80%，得1分；</w:t>
            </w:r>
            <w:r>
              <w:rPr>
                <w:rFonts w:eastAsia="仿宋" w:cs="Times New Roman"/>
                <w:kern w:val="0"/>
                <w:sz w:val="24"/>
                <w:szCs w:val="24"/>
              </w:rPr>
              <w:br w:type="textWrapping"/>
            </w:r>
            <w:r>
              <w:rPr>
                <w:rFonts w:eastAsia="仿宋" w:cs="Times New Roman"/>
                <w:kern w:val="0"/>
                <w:sz w:val="24"/>
                <w:szCs w:val="24"/>
              </w:rPr>
              <w:t>60%（含）-70%，得0.5分；</w:t>
            </w:r>
            <w:r>
              <w:rPr>
                <w:rFonts w:eastAsia="仿宋" w:cs="Times New Roman"/>
                <w:kern w:val="0"/>
                <w:sz w:val="24"/>
                <w:szCs w:val="24"/>
              </w:rPr>
              <w:br w:type="textWrapping"/>
            </w:r>
            <w:r>
              <w:rPr>
                <w:rFonts w:eastAsia="仿宋" w:cs="Times New Roman"/>
                <w:kern w:val="0"/>
                <w:sz w:val="24"/>
                <w:szCs w:val="24"/>
              </w:rPr>
              <w:t>＜60%，得0分。</w:t>
            </w:r>
          </w:p>
        </w:tc>
        <w:tc>
          <w:tcPr>
            <w:tcW w:w="726" w:type="dxa"/>
            <w:tcBorders>
              <w:top w:val="single" w:color="auto" w:sz="4" w:space="0"/>
              <w:left w:val="nil"/>
              <w:bottom w:val="single" w:color="auto" w:sz="4" w:space="0"/>
              <w:right w:val="single" w:color="auto" w:sz="4" w:space="0"/>
            </w:tcBorders>
            <w:noWrap/>
            <w:vAlign w:val="center"/>
          </w:tcPr>
          <w:p w14:paraId="2D3D207A">
            <w:pPr>
              <w:widowControl/>
              <w:jc w:val="left"/>
              <w:rPr>
                <w:rFonts w:eastAsia="仿宋" w:cs="Times New Roman"/>
                <w:kern w:val="0"/>
                <w:sz w:val="24"/>
                <w:szCs w:val="24"/>
              </w:rPr>
            </w:pPr>
            <w:r>
              <w:rPr>
                <w:rFonts w:eastAsia="仿宋" w:cs="Times New Roman"/>
                <w:kern w:val="0"/>
                <w:sz w:val="24"/>
                <w:szCs w:val="24"/>
              </w:rPr>
              <w:t>　3</w:t>
            </w:r>
          </w:p>
        </w:tc>
      </w:tr>
      <w:tr w14:paraId="42887056">
        <w:tblPrEx>
          <w:tblCellMar>
            <w:top w:w="0" w:type="dxa"/>
            <w:left w:w="108" w:type="dxa"/>
            <w:bottom w:w="0" w:type="dxa"/>
            <w:right w:w="108" w:type="dxa"/>
          </w:tblCellMar>
        </w:tblPrEx>
        <w:trPr>
          <w:trHeight w:val="1694" w:hRule="atLeast"/>
          <w:jc w:val="center"/>
        </w:trPr>
        <w:tc>
          <w:tcPr>
            <w:tcW w:w="731"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1CE656CE">
            <w:pPr>
              <w:widowControl/>
              <w:spacing w:line="280" w:lineRule="exact"/>
              <w:jc w:val="center"/>
              <w:rPr>
                <w:rFonts w:eastAsia="仿宋" w:cs="Times New Roman"/>
                <w:kern w:val="0"/>
                <w:sz w:val="24"/>
                <w:szCs w:val="24"/>
              </w:rPr>
            </w:pPr>
            <w:r>
              <w:rPr>
                <w:rFonts w:eastAsia="仿宋" w:cs="Times New Roman"/>
                <w:kern w:val="0"/>
                <w:sz w:val="24"/>
                <w:szCs w:val="24"/>
              </w:rPr>
              <w:t>过   程</w:t>
            </w:r>
          </w:p>
        </w:tc>
        <w:tc>
          <w:tcPr>
            <w:tcW w:w="638" w:type="dxa"/>
            <w:vMerge w:val="restart"/>
            <w:tcBorders>
              <w:top w:val="single" w:color="auto" w:sz="4" w:space="0"/>
              <w:left w:val="single" w:color="auto" w:sz="4" w:space="0"/>
              <w:bottom w:val="single" w:color="auto" w:sz="4" w:space="0"/>
              <w:right w:val="single" w:color="auto" w:sz="4" w:space="0"/>
            </w:tcBorders>
            <w:noWrap w:val="0"/>
            <w:vAlign w:val="center"/>
          </w:tcPr>
          <w:p w14:paraId="4FAE083F">
            <w:pPr>
              <w:widowControl/>
              <w:spacing w:line="280" w:lineRule="exact"/>
              <w:jc w:val="center"/>
              <w:rPr>
                <w:rFonts w:eastAsia="仿宋" w:cs="Times New Roman"/>
                <w:kern w:val="0"/>
                <w:sz w:val="24"/>
                <w:szCs w:val="24"/>
              </w:rPr>
            </w:pPr>
            <w:r>
              <w:rPr>
                <w:rFonts w:eastAsia="仿宋" w:cs="Times New Roman"/>
                <w:kern w:val="0"/>
                <w:sz w:val="24"/>
                <w:szCs w:val="24"/>
              </w:rPr>
              <w:t>预算</w:t>
            </w:r>
            <w:r>
              <w:rPr>
                <w:rFonts w:eastAsia="仿宋" w:cs="Times New Roman"/>
                <w:kern w:val="0"/>
                <w:sz w:val="24"/>
                <w:szCs w:val="24"/>
              </w:rPr>
              <w:br w:type="textWrapping"/>
            </w:r>
            <w:r>
              <w:rPr>
                <w:rFonts w:eastAsia="仿宋" w:cs="Times New Roman"/>
                <w:kern w:val="0"/>
                <w:sz w:val="24"/>
                <w:szCs w:val="24"/>
              </w:rPr>
              <w:t>执行</w:t>
            </w:r>
          </w:p>
        </w:tc>
        <w:tc>
          <w:tcPr>
            <w:tcW w:w="548" w:type="dxa"/>
            <w:vMerge w:val="restart"/>
            <w:tcBorders>
              <w:top w:val="single" w:color="auto" w:sz="4" w:space="0"/>
              <w:left w:val="single" w:color="auto" w:sz="4" w:space="0"/>
              <w:bottom w:val="single" w:color="auto" w:sz="4" w:space="0"/>
              <w:right w:val="single" w:color="auto" w:sz="4" w:space="0"/>
            </w:tcBorders>
            <w:noWrap w:val="0"/>
            <w:vAlign w:val="center"/>
          </w:tcPr>
          <w:p w14:paraId="4F5B3316">
            <w:pPr>
              <w:widowControl/>
              <w:spacing w:line="280" w:lineRule="exact"/>
              <w:jc w:val="center"/>
              <w:rPr>
                <w:rFonts w:eastAsia="仿宋" w:cs="Times New Roman"/>
                <w:kern w:val="0"/>
                <w:sz w:val="24"/>
                <w:szCs w:val="24"/>
              </w:rPr>
            </w:pPr>
            <w:r>
              <w:rPr>
                <w:rFonts w:eastAsia="仿宋" w:cs="Times New Roman"/>
                <w:kern w:val="0"/>
                <w:sz w:val="24"/>
                <w:szCs w:val="24"/>
              </w:rPr>
              <w:t>13</w:t>
            </w:r>
          </w:p>
        </w:tc>
        <w:tc>
          <w:tcPr>
            <w:tcW w:w="676" w:type="dxa"/>
            <w:tcBorders>
              <w:top w:val="single" w:color="auto" w:sz="4" w:space="0"/>
              <w:left w:val="nil"/>
              <w:bottom w:val="single" w:color="auto" w:sz="4" w:space="0"/>
              <w:right w:val="single" w:color="auto" w:sz="4" w:space="0"/>
            </w:tcBorders>
            <w:noWrap w:val="0"/>
            <w:vAlign w:val="center"/>
          </w:tcPr>
          <w:p w14:paraId="25FDA8E3">
            <w:pPr>
              <w:widowControl/>
              <w:spacing w:line="280" w:lineRule="exact"/>
              <w:jc w:val="left"/>
              <w:rPr>
                <w:rFonts w:eastAsia="仿宋" w:cs="Times New Roman"/>
                <w:kern w:val="0"/>
                <w:sz w:val="24"/>
                <w:szCs w:val="24"/>
              </w:rPr>
            </w:pPr>
            <w:r>
              <w:rPr>
                <w:rFonts w:eastAsia="仿宋" w:cs="Times New Roman"/>
                <w:kern w:val="0"/>
                <w:sz w:val="24"/>
                <w:szCs w:val="24"/>
              </w:rPr>
              <w:t>预算完成率</w:t>
            </w:r>
          </w:p>
        </w:tc>
        <w:tc>
          <w:tcPr>
            <w:tcW w:w="516" w:type="dxa"/>
            <w:tcBorders>
              <w:top w:val="single" w:color="auto" w:sz="4" w:space="0"/>
              <w:left w:val="nil"/>
              <w:bottom w:val="single" w:color="auto" w:sz="4" w:space="0"/>
              <w:right w:val="single" w:color="auto" w:sz="4" w:space="0"/>
            </w:tcBorders>
            <w:noWrap w:val="0"/>
            <w:vAlign w:val="center"/>
          </w:tcPr>
          <w:p w14:paraId="316A7A5D">
            <w:pPr>
              <w:widowControl/>
              <w:spacing w:line="280" w:lineRule="exact"/>
              <w:jc w:val="center"/>
              <w:rPr>
                <w:rFonts w:eastAsia="仿宋" w:cs="Times New Roman"/>
                <w:kern w:val="0"/>
                <w:sz w:val="24"/>
                <w:szCs w:val="24"/>
              </w:rPr>
            </w:pPr>
            <w:r>
              <w:rPr>
                <w:rFonts w:eastAsia="仿宋" w:cs="Times New Roman"/>
                <w:kern w:val="0"/>
                <w:sz w:val="24"/>
                <w:szCs w:val="24"/>
              </w:rPr>
              <w:t>3</w:t>
            </w:r>
          </w:p>
        </w:tc>
        <w:tc>
          <w:tcPr>
            <w:tcW w:w="3752" w:type="dxa"/>
            <w:tcBorders>
              <w:top w:val="single" w:color="auto" w:sz="4" w:space="0"/>
              <w:left w:val="nil"/>
              <w:bottom w:val="single" w:color="auto" w:sz="4" w:space="0"/>
              <w:right w:val="single" w:color="auto" w:sz="4" w:space="0"/>
            </w:tcBorders>
            <w:noWrap w:val="0"/>
            <w:vAlign w:val="center"/>
          </w:tcPr>
          <w:p w14:paraId="4F0CFA27">
            <w:pPr>
              <w:widowControl/>
              <w:spacing w:line="280" w:lineRule="exact"/>
              <w:jc w:val="left"/>
              <w:rPr>
                <w:rFonts w:eastAsia="仿宋" w:cs="Times New Roman"/>
                <w:kern w:val="0"/>
                <w:sz w:val="24"/>
                <w:szCs w:val="24"/>
              </w:rPr>
            </w:pPr>
            <w:r>
              <w:rPr>
                <w:rFonts w:eastAsia="仿宋" w:cs="Times New Roman"/>
                <w:kern w:val="0"/>
                <w:sz w:val="24"/>
                <w:szCs w:val="24"/>
              </w:rPr>
              <w:t xml:space="preserve">  部门本年度预算完成数与预算数的比率，用以反映和考核部门预算完成程度。</w:t>
            </w:r>
            <w:r>
              <w:rPr>
                <w:rFonts w:eastAsia="仿宋" w:cs="Times New Roman"/>
                <w:kern w:val="0"/>
                <w:sz w:val="24"/>
                <w:szCs w:val="24"/>
              </w:rPr>
              <w:br w:type="textWrapping"/>
            </w:r>
            <w:r>
              <w:rPr>
                <w:rFonts w:eastAsia="仿宋" w:cs="Times New Roman"/>
                <w:kern w:val="0"/>
                <w:sz w:val="24"/>
                <w:szCs w:val="24"/>
              </w:rPr>
              <w:t xml:space="preserve">  预算完成率=（预算完成数/预算数）×100%。</w:t>
            </w:r>
          </w:p>
        </w:tc>
        <w:tc>
          <w:tcPr>
            <w:tcW w:w="3036" w:type="dxa"/>
            <w:tcBorders>
              <w:top w:val="single" w:color="auto" w:sz="4" w:space="0"/>
              <w:left w:val="nil"/>
              <w:bottom w:val="single" w:color="auto" w:sz="4" w:space="0"/>
              <w:right w:val="single" w:color="auto" w:sz="4" w:space="0"/>
            </w:tcBorders>
            <w:noWrap w:val="0"/>
            <w:vAlign w:val="center"/>
          </w:tcPr>
          <w:p w14:paraId="00969165">
            <w:pPr>
              <w:widowControl/>
              <w:spacing w:line="280" w:lineRule="exact"/>
              <w:jc w:val="left"/>
              <w:rPr>
                <w:rFonts w:eastAsia="仿宋" w:cs="Times New Roman"/>
                <w:kern w:val="0"/>
                <w:sz w:val="24"/>
                <w:szCs w:val="24"/>
              </w:rPr>
            </w:pPr>
            <w:r>
              <w:rPr>
                <w:rFonts w:eastAsia="仿宋" w:cs="Times New Roman"/>
                <w:kern w:val="0"/>
                <w:sz w:val="24"/>
                <w:szCs w:val="24"/>
              </w:rPr>
              <w:t>预算完成率≥95%，得3分；</w:t>
            </w:r>
            <w:r>
              <w:rPr>
                <w:rFonts w:eastAsia="仿宋" w:cs="Times New Roman"/>
                <w:kern w:val="0"/>
                <w:sz w:val="24"/>
                <w:szCs w:val="24"/>
              </w:rPr>
              <w:br w:type="textWrapping"/>
            </w:r>
            <w:r>
              <w:rPr>
                <w:rFonts w:eastAsia="仿宋" w:cs="Times New Roman"/>
                <w:kern w:val="0"/>
                <w:sz w:val="24"/>
                <w:szCs w:val="24"/>
              </w:rPr>
              <w:t>每降低5%，扣1分，扣完为止。</w:t>
            </w:r>
          </w:p>
        </w:tc>
        <w:tc>
          <w:tcPr>
            <w:tcW w:w="726" w:type="dxa"/>
            <w:tcBorders>
              <w:top w:val="single" w:color="auto" w:sz="4" w:space="0"/>
              <w:left w:val="nil"/>
              <w:bottom w:val="single" w:color="auto" w:sz="4" w:space="0"/>
              <w:right w:val="single" w:color="auto" w:sz="4" w:space="0"/>
            </w:tcBorders>
            <w:noWrap/>
            <w:vAlign w:val="center"/>
          </w:tcPr>
          <w:p w14:paraId="6B217B96">
            <w:pPr>
              <w:widowControl/>
              <w:jc w:val="center"/>
              <w:rPr>
                <w:rFonts w:hint="eastAsia" w:eastAsia="仿宋" w:cs="Times New Roman"/>
                <w:kern w:val="0"/>
                <w:sz w:val="24"/>
                <w:szCs w:val="24"/>
                <w:lang w:eastAsia="zh-CN"/>
              </w:rPr>
            </w:pPr>
            <w:r>
              <w:rPr>
                <w:rFonts w:hint="eastAsia" w:eastAsia="仿宋" w:cs="Times New Roman"/>
                <w:kern w:val="0"/>
                <w:sz w:val="24"/>
                <w:szCs w:val="24"/>
                <w:lang w:val="en-US" w:eastAsia="zh-CN"/>
              </w:rPr>
              <w:t>0</w:t>
            </w:r>
          </w:p>
        </w:tc>
      </w:tr>
      <w:tr w14:paraId="6DAB4185">
        <w:tblPrEx>
          <w:tblCellMar>
            <w:top w:w="0" w:type="dxa"/>
            <w:left w:w="108" w:type="dxa"/>
            <w:bottom w:w="0" w:type="dxa"/>
            <w:right w:w="108" w:type="dxa"/>
          </w:tblCellMar>
        </w:tblPrEx>
        <w:trPr>
          <w:trHeight w:val="3514"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32C93B0D">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279C72E6">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17658DC9">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3A55D8E9">
            <w:pPr>
              <w:widowControl/>
              <w:spacing w:line="280" w:lineRule="exact"/>
              <w:jc w:val="left"/>
              <w:rPr>
                <w:rFonts w:eastAsia="仿宋" w:cs="Times New Roman"/>
                <w:kern w:val="0"/>
                <w:sz w:val="24"/>
                <w:szCs w:val="24"/>
              </w:rPr>
            </w:pPr>
            <w:r>
              <w:rPr>
                <w:rFonts w:eastAsia="仿宋" w:cs="Times New Roman"/>
                <w:kern w:val="0"/>
                <w:sz w:val="24"/>
                <w:szCs w:val="24"/>
              </w:rPr>
              <w:t>预算调整率</w:t>
            </w:r>
          </w:p>
        </w:tc>
        <w:tc>
          <w:tcPr>
            <w:tcW w:w="516" w:type="dxa"/>
            <w:tcBorders>
              <w:top w:val="single" w:color="auto" w:sz="4" w:space="0"/>
              <w:left w:val="nil"/>
              <w:bottom w:val="single" w:color="auto" w:sz="4" w:space="0"/>
              <w:right w:val="single" w:color="auto" w:sz="4" w:space="0"/>
            </w:tcBorders>
            <w:noWrap w:val="0"/>
            <w:vAlign w:val="center"/>
          </w:tcPr>
          <w:p w14:paraId="1EDCC369">
            <w:pPr>
              <w:widowControl/>
              <w:spacing w:line="280" w:lineRule="exact"/>
              <w:jc w:val="center"/>
              <w:rPr>
                <w:rFonts w:eastAsia="仿宋" w:cs="Times New Roman"/>
                <w:kern w:val="0"/>
                <w:sz w:val="24"/>
                <w:szCs w:val="24"/>
              </w:rPr>
            </w:pPr>
            <w:r>
              <w:rPr>
                <w:rFonts w:eastAsia="仿宋" w:cs="Times New Roman"/>
                <w:kern w:val="0"/>
                <w:sz w:val="24"/>
                <w:szCs w:val="24"/>
              </w:rPr>
              <w:t>2</w:t>
            </w:r>
          </w:p>
        </w:tc>
        <w:tc>
          <w:tcPr>
            <w:tcW w:w="3752" w:type="dxa"/>
            <w:tcBorders>
              <w:top w:val="single" w:color="auto" w:sz="4" w:space="0"/>
              <w:left w:val="nil"/>
              <w:bottom w:val="single" w:color="auto" w:sz="4" w:space="0"/>
              <w:right w:val="single" w:color="auto" w:sz="4" w:space="0"/>
            </w:tcBorders>
            <w:noWrap w:val="0"/>
            <w:vAlign w:val="center"/>
          </w:tcPr>
          <w:p w14:paraId="43220119">
            <w:pPr>
              <w:widowControl/>
              <w:spacing w:line="280" w:lineRule="exact"/>
              <w:jc w:val="left"/>
              <w:rPr>
                <w:rFonts w:eastAsia="仿宋" w:cs="Times New Roman"/>
                <w:kern w:val="0"/>
                <w:sz w:val="24"/>
                <w:szCs w:val="24"/>
              </w:rPr>
            </w:pPr>
            <w:r>
              <w:rPr>
                <w:rFonts w:eastAsia="仿宋" w:cs="Times New Roman"/>
                <w:kern w:val="0"/>
                <w:sz w:val="24"/>
                <w:szCs w:val="24"/>
              </w:rPr>
              <w:t xml:space="preserve">  部门本年度预算调整数与预算数的比率，用以反映和考核部门预算的调整程度。</w:t>
            </w:r>
            <w:r>
              <w:rPr>
                <w:rFonts w:eastAsia="仿宋" w:cs="Times New Roman"/>
                <w:kern w:val="0"/>
                <w:sz w:val="24"/>
                <w:szCs w:val="24"/>
              </w:rPr>
              <w:br w:type="textWrapping"/>
            </w:r>
            <w:r>
              <w:rPr>
                <w:rFonts w:eastAsia="仿宋" w:cs="Times New Roman"/>
                <w:kern w:val="0"/>
                <w:sz w:val="24"/>
                <w:szCs w:val="24"/>
              </w:rPr>
              <w:t xml:space="preserve">  预算调整率=（本年预算调整数/年初预算）×100%。</w:t>
            </w:r>
            <w:r>
              <w:rPr>
                <w:rFonts w:eastAsia="仿宋" w:cs="Times New Roman"/>
                <w:kern w:val="0"/>
                <w:sz w:val="24"/>
                <w:szCs w:val="24"/>
              </w:rPr>
              <w:br w:type="textWrapping"/>
            </w:r>
            <w:r>
              <w:rPr>
                <w:rFonts w:eastAsia="仿宋" w:cs="Times New Roman"/>
                <w:kern w:val="0"/>
                <w:sz w:val="24"/>
                <w:szCs w:val="24"/>
              </w:rPr>
              <w:t xml:space="preserve">  本年预算调整数：部门在本年度内涉及预算的追加、追减或结构调整的资金总和（因落实国家政策、发生不可抗力、上级部门或本级党委政府临时交办而产生的调整除外）。</w:t>
            </w:r>
          </w:p>
        </w:tc>
        <w:tc>
          <w:tcPr>
            <w:tcW w:w="3036" w:type="dxa"/>
            <w:tcBorders>
              <w:top w:val="single" w:color="auto" w:sz="4" w:space="0"/>
              <w:left w:val="nil"/>
              <w:bottom w:val="single" w:color="auto" w:sz="4" w:space="0"/>
              <w:right w:val="single" w:color="auto" w:sz="4" w:space="0"/>
            </w:tcBorders>
            <w:noWrap w:val="0"/>
            <w:vAlign w:val="center"/>
          </w:tcPr>
          <w:p w14:paraId="5FBE3431">
            <w:pPr>
              <w:widowControl/>
              <w:spacing w:line="280" w:lineRule="exact"/>
              <w:jc w:val="left"/>
              <w:rPr>
                <w:rFonts w:eastAsia="仿宋" w:cs="Times New Roman"/>
                <w:kern w:val="0"/>
                <w:sz w:val="24"/>
                <w:szCs w:val="24"/>
              </w:rPr>
            </w:pPr>
            <w:r>
              <w:rPr>
                <w:rFonts w:eastAsia="仿宋" w:cs="Times New Roman"/>
                <w:kern w:val="0"/>
                <w:sz w:val="24"/>
                <w:szCs w:val="24"/>
              </w:rPr>
              <w:t>预算调整率≤5%，得2分；</w:t>
            </w:r>
            <w:r>
              <w:rPr>
                <w:rFonts w:eastAsia="仿宋" w:cs="Times New Roman"/>
                <w:kern w:val="0"/>
                <w:sz w:val="24"/>
                <w:szCs w:val="24"/>
              </w:rPr>
              <w:br w:type="textWrapping"/>
            </w:r>
            <w:r>
              <w:rPr>
                <w:rFonts w:eastAsia="仿宋" w:cs="Times New Roman"/>
                <w:kern w:val="0"/>
                <w:sz w:val="24"/>
                <w:szCs w:val="24"/>
              </w:rPr>
              <w:t>5%-10%（含），得1.5分；</w:t>
            </w:r>
            <w:r>
              <w:rPr>
                <w:rFonts w:eastAsia="仿宋" w:cs="Times New Roman"/>
                <w:kern w:val="0"/>
                <w:sz w:val="24"/>
                <w:szCs w:val="24"/>
              </w:rPr>
              <w:br w:type="textWrapping"/>
            </w:r>
            <w:r>
              <w:rPr>
                <w:rFonts w:eastAsia="仿宋" w:cs="Times New Roman"/>
                <w:kern w:val="0"/>
                <w:sz w:val="24"/>
                <w:szCs w:val="24"/>
              </w:rPr>
              <w:t>10%-15%（含），得1分；</w:t>
            </w:r>
            <w:r>
              <w:rPr>
                <w:rFonts w:eastAsia="仿宋" w:cs="Times New Roman"/>
                <w:kern w:val="0"/>
                <w:sz w:val="24"/>
                <w:szCs w:val="24"/>
              </w:rPr>
              <w:br w:type="textWrapping"/>
            </w:r>
            <w:r>
              <w:rPr>
                <w:rFonts w:eastAsia="仿宋" w:cs="Times New Roman"/>
                <w:kern w:val="0"/>
                <w:sz w:val="24"/>
                <w:szCs w:val="24"/>
              </w:rPr>
              <w:t>15%-20%（含），得0.5分；</w:t>
            </w:r>
            <w:r>
              <w:rPr>
                <w:rFonts w:eastAsia="仿宋" w:cs="Times New Roman"/>
                <w:kern w:val="0"/>
                <w:sz w:val="24"/>
                <w:szCs w:val="24"/>
              </w:rPr>
              <w:br w:type="textWrapping"/>
            </w:r>
            <w:r>
              <w:rPr>
                <w:rFonts w:eastAsia="仿宋" w:cs="Times New Roman"/>
                <w:kern w:val="0"/>
                <w:sz w:val="24"/>
                <w:szCs w:val="24"/>
              </w:rPr>
              <w:t>＞20%，得0分。</w:t>
            </w:r>
          </w:p>
        </w:tc>
        <w:tc>
          <w:tcPr>
            <w:tcW w:w="726" w:type="dxa"/>
            <w:tcBorders>
              <w:top w:val="single" w:color="auto" w:sz="4" w:space="0"/>
              <w:left w:val="nil"/>
              <w:bottom w:val="single" w:color="auto" w:sz="4" w:space="0"/>
              <w:right w:val="single" w:color="auto" w:sz="4" w:space="0"/>
            </w:tcBorders>
            <w:noWrap/>
            <w:vAlign w:val="center"/>
          </w:tcPr>
          <w:p w14:paraId="7BAEC7C0">
            <w:pPr>
              <w:widowControl/>
              <w:jc w:val="left"/>
              <w:rPr>
                <w:rFonts w:eastAsia="仿宋" w:cs="Times New Roman"/>
                <w:kern w:val="0"/>
                <w:sz w:val="24"/>
                <w:szCs w:val="24"/>
              </w:rPr>
            </w:pPr>
            <w:r>
              <w:rPr>
                <w:rFonts w:eastAsia="仿宋" w:cs="Times New Roman"/>
                <w:kern w:val="0"/>
                <w:sz w:val="24"/>
                <w:szCs w:val="24"/>
              </w:rPr>
              <w:t>　1</w:t>
            </w:r>
          </w:p>
        </w:tc>
      </w:tr>
      <w:tr w14:paraId="7ADFDB9F">
        <w:tblPrEx>
          <w:tblCellMar>
            <w:top w:w="0" w:type="dxa"/>
            <w:left w:w="108" w:type="dxa"/>
            <w:bottom w:w="0" w:type="dxa"/>
            <w:right w:w="108" w:type="dxa"/>
          </w:tblCellMar>
        </w:tblPrEx>
        <w:trPr>
          <w:trHeight w:val="4100"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14DF2461">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2A132459">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4B677CF4">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45E81444">
            <w:pPr>
              <w:widowControl/>
              <w:spacing w:line="280" w:lineRule="exact"/>
              <w:jc w:val="left"/>
              <w:rPr>
                <w:rFonts w:eastAsia="仿宋" w:cs="Times New Roman"/>
                <w:kern w:val="0"/>
                <w:sz w:val="24"/>
                <w:szCs w:val="24"/>
              </w:rPr>
            </w:pPr>
            <w:r>
              <w:rPr>
                <w:rFonts w:eastAsia="仿宋" w:cs="Times New Roman"/>
                <w:kern w:val="0"/>
                <w:sz w:val="24"/>
                <w:szCs w:val="24"/>
              </w:rPr>
              <w:t>支付进度率</w:t>
            </w:r>
          </w:p>
        </w:tc>
        <w:tc>
          <w:tcPr>
            <w:tcW w:w="516" w:type="dxa"/>
            <w:tcBorders>
              <w:top w:val="single" w:color="auto" w:sz="4" w:space="0"/>
              <w:left w:val="nil"/>
              <w:bottom w:val="single" w:color="auto" w:sz="4" w:space="0"/>
              <w:right w:val="single" w:color="auto" w:sz="4" w:space="0"/>
            </w:tcBorders>
            <w:noWrap w:val="0"/>
            <w:vAlign w:val="center"/>
          </w:tcPr>
          <w:p w14:paraId="79C29B3C">
            <w:pPr>
              <w:widowControl/>
              <w:spacing w:line="280" w:lineRule="exact"/>
              <w:jc w:val="center"/>
              <w:rPr>
                <w:rFonts w:eastAsia="仿宋" w:cs="Times New Roman"/>
                <w:kern w:val="0"/>
                <w:sz w:val="24"/>
                <w:szCs w:val="24"/>
              </w:rPr>
            </w:pPr>
            <w:r>
              <w:rPr>
                <w:rFonts w:eastAsia="仿宋" w:cs="Times New Roman"/>
                <w:kern w:val="0"/>
                <w:sz w:val="24"/>
                <w:szCs w:val="24"/>
              </w:rPr>
              <w:t>2</w:t>
            </w:r>
          </w:p>
        </w:tc>
        <w:tc>
          <w:tcPr>
            <w:tcW w:w="3752" w:type="dxa"/>
            <w:tcBorders>
              <w:top w:val="single" w:color="auto" w:sz="4" w:space="0"/>
              <w:left w:val="nil"/>
              <w:bottom w:val="single" w:color="auto" w:sz="4" w:space="0"/>
              <w:right w:val="single" w:color="auto" w:sz="4" w:space="0"/>
            </w:tcBorders>
            <w:noWrap w:val="0"/>
            <w:vAlign w:val="center"/>
          </w:tcPr>
          <w:p w14:paraId="7DD7E169">
            <w:pPr>
              <w:widowControl/>
              <w:spacing w:line="280" w:lineRule="exact"/>
              <w:jc w:val="left"/>
              <w:rPr>
                <w:rFonts w:eastAsia="仿宋" w:cs="Times New Roman"/>
                <w:kern w:val="0"/>
                <w:sz w:val="24"/>
                <w:szCs w:val="24"/>
              </w:rPr>
            </w:pPr>
            <w:r>
              <w:rPr>
                <w:rFonts w:eastAsia="仿宋" w:cs="Times New Roman"/>
                <w:kern w:val="0"/>
                <w:sz w:val="24"/>
                <w:szCs w:val="24"/>
              </w:rPr>
              <w:t xml:space="preserve">  部门实际支付进度与既定支付进度的比率，用以反映和考核部门预算执行的及时性和均衡性程度。</w:t>
            </w:r>
            <w:r>
              <w:rPr>
                <w:rFonts w:eastAsia="仿宋" w:cs="Times New Roman"/>
                <w:kern w:val="0"/>
                <w:sz w:val="24"/>
                <w:szCs w:val="24"/>
              </w:rPr>
              <w:br w:type="textWrapping"/>
            </w:r>
            <w:r>
              <w:rPr>
                <w:rFonts w:eastAsia="仿宋" w:cs="Times New Roman"/>
                <w:kern w:val="0"/>
                <w:sz w:val="24"/>
                <w:szCs w:val="24"/>
              </w:rPr>
              <w:t xml:space="preserve">  支付进度率=（实际支付进度/既定支付进度）×100%。</w:t>
            </w:r>
            <w:r>
              <w:rPr>
                <w:rFonts w:eastAsia="仿宋" w:cs="Times New Roman"/>
                <w:kern w:val="0"/>
                <w:sz w:val="24"/>
                <w:szCs w:val="24"/>
              </w:rPr>
              <w:br w:type="textWrapping"/>
            </w:r>
            <w:r>
              <w:rPr>
                <w:rFonts w:eastAsia="仿宋" w:cs="Times New Roman"/>
                <w:kern w:val="0"/>
                <w:sz w:val="24"/>
                <w:szCs w:val="24"/>
              </w:rPr>
              <w:t xml:space="preserve">  实际支付进度：部门在某一时点的支出预算执行总数与年度支出预算数的比率。</w:t>
            </w:r>
            <w:r>
              <w:rPr>
                <w:rFonts w:eastAsia="仿宋" w:cs="Times New Roman"/>
                <w:kern w:val="0"/>
                <w:sz w:val="24"/>
                <w:szCs w:val="24"/>
              </w:rPr>
              <w:br w:type="textWrapping"/>
            </w:r>
            <w:r>
              <w:rPr>
                <w:rFonts w:eastAsia="仿宋" w:cs="Times New Roman"/>
                <w:kern w:val="0"/>
                <w:sz w:val="24"/>
                <w:szCs w:val="24"/>
              </w:rPr>
              <w:t xml:space="preserve">  既定支付进度：由部门在申报部门整体绩效目标时，参照序时支付进度、前三年支付进度、本级部门平均支付进度水平等确定的，在某一时点应达到的支付进度（比率）。</w:t>
            </w:r>
          </w:p>
        </w:tc>
        <w:tc>
          <w:tcPr>
            <w:tcW w:w="3036" w:type="dxa"/>
            <w:tcBorders>
              <w:top w:val="single" w:color="auto" w:sz="4" w:space="0"/>
              <w:left w:val="nil"/>
              <w:bottom w:val="single" w:color="auto" w:sz="4" w:space="0"/>
              <w:right w:val="single" w:color="auto" w:sz="4" w:space="0"/>
            </w:tcBorders>
            <w:noWrap w:val="0"/>
            <w:vAlign w:val="center"/>
          </w:tcPr>
          <w:p w14:paraId="26FF2B5E">
            <w:pPr>
              <w:widowControl/>
              <w:spacing w:line="280" w:lineRule="exact"/>
              <w:jc w:val="left"/>
              <w:rPr>
                <w:rFonts w:eastAsia="仿宋" w:cs="Times New Roman"/>
                <w:kern w:val="0"/>
                <w:sz w:val="24"/>
                <w:szCs w:val="24"/>
              </w:rPr>
            </w:pPr>
            <w:r>
              <w:rPr>
                <w:rFonts w:eastAsia="仿宋" w:cs="Times New Roman"/>
                <w:kern w:val="0"/>
                <w:sz w:val="24"/>
                <w:szCs w:val="24"/>
              </w:rPr>
              <w:t>支付进度率=100%，得2分；</w:t>
            </w:r>
            <w:r>
              <w:rPr>
                <w:rFonts w:eastAsia="仿宋" w:cs="Times New Roman"/>
                <w:kern w:val="0"/>
                <w:sz w:val="24"/>
                <w:szCs w:val="24"/>
              </w:rPr>
              <w:br w:type="textWrapping"/>
            </w:r>
            <w:r>
              <w:rPr>
                <w:rFonts w:eastAsia="仿宋" w:cs="Times New Roman"/>
                <w:kern w:val="0"/>
                <w:sz w:val="24"/>
                <w:szCs w:val="24"/>
              </w:rPr>
              <w:t>每超过（降低）5%，扣0.5分，扣完为止。</w:t>
            </w:r>
          </w:p>
        </w:tc>
        <w:tc>
          <w:tcPr>
            <w:tcW w:w="726" w:type="dxa"/>
            <w:tcBorders>
              <w:top w:val="single" w:color="auto" w:sz="4" w:space="0"/>
              <w:left w:val="nil"/>
              <w:bottom w:val="single" w:color="auto" w:sz="4" w:space="0"/>
              <w:right w:val="single" w:color="auto" w:sz="4" w:space="0"/>
            </w:tcBorders>
            <w:noWrap/>
            <w:vAlign w:val="center"/>
          </w:tcPr>
          <w:p w14:paraId="31D60624">
            <w:pPr>
              <w:widowControl/>
              <w:jc w:val="left"/>
              <w:rPr>
                <w:rFonts w:eastAsia="仿宋" w:cs="Times New Roman"/>
                <w:kern w:val="0"/>
                <w:sz w:val="24"/>
                <w:szCs w:val="24"/>
              </w:rPr>
            </w:pPr>
            <w:r>
              <w:rPr>
                <w:rFonts w:eastAsia="仿宋" w:cs="Times New Roman"/>
                <w:kern w:val="0"/>
                <w:sz w:val="24"/>
                <w:szCs w:val="24"/>
              </w:rPr>
              <w:t>　1</w:t>
            </w:r>
          </w:p>
        </w:tc>
      </w:tr>
      <w:tr w14:paraId="36095E9B">
        <w:tblPrEx>
          <w:tblCellMar>
            <w:top w:w="0" w:type="dxa"/>
            <w:left w:w="108" w:type="dxa"/>
            <w:bottom w:w="0" w:type="dxa"/>
            <w:right w:w="108" w:type="dxa"/>
          </w:tblCellMar>
        </w:tblPrEx>
        <w:trPr>
          <w:trHeight w:val="3109"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08E433C0">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0451FB0A">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29920D83">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775EDF46">
            <w:pPr>
              <w:widowControl/>
              <w:spacing w:line="280" w:lineRule="exact"/>
              <w:jc w:val="left"/>
              <w:rPr>
                <w:rFonts w:eastAsia="仿宋" w:cs="Times New Roman"/>
                <w:kern w:val="0"/>
                <w:sz w:val="24"/>
                <w:szCs w:val="24"/>
              </w:rPr>
            </w:pPr>
            <w:r>
              <w:rPr>
                <w:rFonts w:eastAsia="仿宋" w:cs="Times New Roman"/>
                <w:kern w:val="0"/>
                <w:sz w:val="24"/>
                <w:szCs w:val="24"/>
              </w:rPr>
              <w:t>结转结余变动率</w:t>
            </w:r>
          </w:p>
        </w:tc>
        <w:tc>
          <w:tcPr>
            <w:tcW w:w="516" w:type="dxa"/>
            <w:tcBorders>
              <w:top w:val="single" w:color="auto" w:sz="4" w:space="0"/>
              <w:left w:val="nil"/>
              <w:bottom w:val="single" w:color="auto" w:sz="4" w:space="0"/>
              <w:right w:val="single" w:color="auto" w:sz="4" w:space="0"/>
            </w:tcBorders>
            <w:noWrap w:val="0"/>
            <w:vAlign w:val="center"/>
          </w:tcPr>
          <w:p w14:paraId="1F37209C">
            <w:pPr>
              <w:widowControl/>
              <w:spacing w:line="280" w:lineRule="exact"/>
              <w:jc w:val="center"/>
              <w:rPr>
                <w:rFonts w:eastAsia="仿宋" w:cs="Times New Roman"/>
                <w:kern w:val="0"/>
                <w:sz w:val="24"/>
                <w:szCs w:val="24"/>
              </w:rPr>
            </w:pPr>
            <w:r>
              <w:rPr>
                <w:rFonts w:eastAsia="仿宋" w:cs="Times New Roman"/>
                <w:kern w:val="0"/>
                <w:sz w:val="24"/>
                <w:szCs w:val="24"/>
              </w:rPr>
              <w:t>1</w:t>
            </w:r>
          </w:p>
        </w:tc>
        <w:tc>
          <w:tcPr>
            <w:tcW w:w="3752" w:type="dxa"/>
            <w:tcBorders>
              <w:top w:val="single" w:color="auto" w:sz="4" w:space="0"/>
              <w:left w:val="nil"/>
              <w:bottom w:val="single" w:color="auto" w:sz="4" w:space="0"/>
              <w:right w:val="single" w:color="auto" w:sz="4" w:space="0"/>
            </w:tcBorders>
            <w:noWrap w:val="0"/>
            <w:vAlign w:val="center"/>
          </w:tcPr>
          <w:p w14:paraId="66E32BD1">
            <w:pPr>
              <w:widowControl/>
              <w:spacing w:line="280" w:lineRule="exact"/>
              <w:jc w:val="left"/>
              <w:rPr>
                <w:rFonts w:eastAsia="仿宋" w:cs="Times New Roman"/>
                <w:kern w:val="0"/>
                <w:sz w:val="24"/>
                <w:szCs w:val="24"/>
              </w:rPr>
            </w:pPr>
            <w:r>
              <w:rPr>
                <w:rFonts w:eastAsia="仿宋" w:cs="Times New Roman"/>
                <w:kern w:val="0"/>
                <w:sz w:val="24"/>
                <w:szCs w:val="24"/>
              </w:rPr>
              <w:t xml:space="preserve">  部门本年度结转结余资金总额与上年度结转结余资金总额的变动比率，用以反映和考核部门对控制结转结余资金的努力程度。</w:t>
            </w:r>
            <w:r>
              <w:rPr>
                <w:rFonts w:eastAsia="仿宋" w:cs="Times New Roman"/>
                <w:kern w:val="0"/>
                <w:sz w:val="24"/>
                <w:szCs w:val="24"/>
              </w:rPr>
              <w:br w:type="textWrapping"/>
            </w:r>
            <w:r>
              <w:rPr>
                <w:rFonts w:eastAsia="仿宋" w:cs="Times New Roman"/>
                <w:kern w:val="0"/>
                <w:sz w:val="24"/>
                <w:szCs w:val="24"/>
              </w:rPr>
              <w:t xml:space="preserve">  结转结余变动率=[（本年度累计结转结余资金总额-上年度累计结转结余资金总额）/上年度累计结转结余资金总额]×100%。</w:t>
            </w:r>
          </w:p>
        </w:tc>
        <w:tc>
          <w:tcPr>
            <w:tcW w:w="3036" w:type="dxa"/>
            <w:tcBorders>
              <w:top w:val="single" w:color="auto" w:sz="4" w:space="0"/>
              <w:left w:val="nil"/>
              <w:bottom w:val="single" w:color="auto" w:sz="4" w:space="0"/>
              <w:right w:val="single" w:color="auto" w:sz="4" w:space="0"/>
            </w:tcBorders>
            <w:noWrap w:val="0"/>
            <w:vAlign w:val="center"/>
          </w:tcPr>
          <w:p w14:paraId="5F496985">
            <w:pPr>
              <w:widowControl/>
              <w:spacing w:line="280" w:lineRule="exact"/>
              <w:jc w:val="left"/>
              <w:rPr>
                <w:rFonts w:eastAsia="仿宋" w:cs="Times New Roman"/>
                <w:kern w:val="0"/>
                <w:sz w:val="24"/>
                <w:szCs w:val="24"/>
              </w:rPr>
            </w:pPr>
            <w:r>
              <w:rPr>
                <w:rFonts w:eastAsia="仿宋" w:cs="Times New Roman"/>
                <w:kern w:val="0"/>
                <w:sz w:val="24"/>
                <w:szCs w:val="24"/>
              </w:rPr>
              <w:t>结转结余变动率≤0，得1分；</w:t>
            </w:r>
            <w:r>
              <w:rPr>
                <w:rFonts w:eastAsia="仿宋" w:cs="Times New Roman"/>
                <w:kern w:val="0"/>
                <w:sz w:val="24"/>
                <w:szCs w:val="24"/>
              </w:rPr>
              <w:br w:type="textWrapping"/>
            </w:r>
            <w:r>
              <w:rPr>
                <w:rFonts w:eastAsia="仿宋" w:cs="Times New Roman"/>
                <w:kern w:val="0"/>
                <w:sz w:val="24"/>
                <w:szCs w:val="24"/>
              </w:rPr>
              <w:t>每超过5%，扣0.5分，扣完为止。</w:t>
            </w:r>
          </w:p>
        </w:tc>
        <w:tc>
          <w:tcPr>
            <w:tcW w:w="726" w:type="dxa"/>
            <w:tcBorders>
              <w:top w:val="single" w:color="auto" w:sz="4" w:space="0"/>
              <w:left w:val="nil"/>
              <w:bottom w:val="single" w:color="auto" w:sz="4" w:space="0"/>
              <w:right w:val="single" w:color="auto" w:sz="4" w:space="0"/>
            </w:tcBorders>
            <w:noWrap/>
            <w:vAlign w:val="center"/>
          </w:tcPr>
          <w:p w14:paraId="35891113">
            <w:pPr>
              <w:widowControl/>
              <w:jc w:val="left"/>
              <w:rPr>
                <w:rFonts w:eastAsia="仿宋" w:cs="Times New Roman"/>
                <w:kern w:val="0"/>
                <w:sz w:val="24"/>
                <w:szCs w:val="24"/>
              </w:rPr>
            </w:pPr>
            <w:r>
              <w:rPr>
                <w:rFonts w:eastAsia="仿宋" w:cs="Times New Roman"/>
                <w:kern w:val="0"/>
                <w:sz w:val="24"/>
                <w:szCs w:val="24"/>
              </w:rPr>
              <w:t>　1</w:t>
            </w:r>
          </w:p>
        </w:tc>
      </w:tr>
      <w:tr w14:paraId="7A17DBD2">
        <w:tblPrEx>
          <w:tblCellMar>
            <w:top w:w="0" w:type="dxa"/>
            <w:left w:w="108" w:type="dxa"/>
            <w:bottom w:w="0" w:type="dxa"/>
            <w:right w:w="108" w:type="dxa"/>
          </w:tblCellMar>
        </w:tblPrEx>
        <w:trPr>
          <w:trHeight w:val="2680"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3A27E45C">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634AC4E3">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5B4EDBAD">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76C15335">
            <w:pPr>
              <w:widowControl/>
              <w:spacing w:line="280" w:lineRule="exact"/>
              <w:jc w:val="left"/>
              <w:rPr>
                <w:rFonts w:eastAsia="仿宋" w:cs="Times New Roman"/>
                <w:kern w:val="0"/>
                <w:sz w:val="24"/>
                <w:szCs w:val="24"/>
              </w:rPr>
            </w:pPr>
            <w:r>
              <w:rPr>
                <w:rFonts w:eastAsia="仿宋" w:cs="Times New Roman"/>
                <w:kern w:val="0"/>
                <w:sz w:val="24"/>
                <w:szCs w:val="24"/>
              </w:rPr>
              <w:t>公用经费控制率</w:t>
            </w:r>
          </w:p>
        </w:tc>
        <w:tc>
          <w:tcPr>
            <w:tcW w:w="516" w:type="dxa"/>
            <w:tcBorders>
              <w:top w:val="single" w:color="auto" w:sz="4" w:space="0"/>
              <w:left w:val="nil"/>
              <w:bottom w:val="single" w:color="auto" w:sz="4" w:space="0"/>
              <w:right w:val="single" w:color="auto" w:sz="4" w:space="0"/>
            </w:tcBorders>
            <w:noWrap w:val="0"/>
            <w:vAlign w:val="center"/>
          </w:tcPr>
          <w:p w14:paraId="39F78591">
            <w:pPr>
              <w:widowControl/>
              <w:spacing w:line="280" w:lineRule="exact"/>
              <w:jc w:val="center"/>
              <w:rPr>
                <w:rFonts w:eastAsia="仿宋" w:cs="Times New Roman"/>
                <w:kern w:val="0"/>
                <w:sz w:val="24"/>
                <w:szCs w:val="24"/>
              </w:rPr>
            </w:pPr>
            <w:r>
              <w:rPr>
                <w:rFonts w:eastAsia="仿宋" w:cs="Times New Roman"/>
                <w:kern w:val="0"/>
                <w:sz w:val="24"/>
                <w:szCs w:val="24"/>
              </w:rPr>
              <w:t>2</w:t>
            </w:r>
          </w:p>
        </w:tc>
        <w:tc>
          <w:tcPr>
            <w:tcW w:w="3752" w:type="dxa"/>
            <w:tcBorders>
              <w:top w:val="single" w:color="auto" w:sz="4" w:space="0"/>
              <w:left w:val="nil"/>
              <w:bottom w:val="single" w:color="auto" w:sz="4" w:space="0"/>
              <w:right w:val="single" w:color="auto" w:sz="4" w:space="0"/>
            </w:tcBorders>
            <w:noWrap w:val="0"/>
            <w:vAlign w:val="center"/>
          </w:tcPr>
          <w:p w14:paraId="3D543C7A">
            <w:pPr>
              <w:widowControl/>
              <w:spacing w:line="280" w:lineRule="exact"/>
              <w:jc w:val="left"/>
              <w:rPr>
                <w:rFonts w:eastAsia="仿宋" w:cs="Times New Roman"/>
                <w:kern w:val="0"/>
                <w:sz w:val="24"/>
                <w:szCs w:val="24"/>
              </w:rPr>
            </w:pPr>
            <w:r>
              <w:rPr>
                <w:rFonts w:eastAsia="仿宋" w:cs="Times New Roman"/>
                <w:kern w:val="0"/>
                <w:sz w:val="24"/>
                <w:szCs w:val="24"/>
              </w:rPr>
              <w:t xml:space="preserve">  部门本年度实际支出的公用经费总额与预算安排的公用经费总额的比率，用以反映和考核部门对机构运转成本的实际控制程度。</w:t>
            </w:r>
            <w:r>
              <w:rPr>
                <w:rFonts w:eastAsia="仿宋" w:cs="Times New Roman"/>
                <w:kern w:val="0"/>
                <w:sz w:val="24"/>
                <w:szCs w:val="24"/>
              </w:rPr>
              <w:br w:type="textWrapping"/>
            </w:r>
            <w:r>
              <w:rPr>
                <w:rFonts w:eastAsia="仿宋" w:cs="Times New Roman"/>
                <w:kern w:val="0"/>
                <w:sz w:val="24"/>
                <w:szCs w:val="24"/>
              </w:rPr>
              <w:t xml:space="preserve">  公用经费控制率=（实际支出公用经费总额/预算安排公用经费总额）×100%。</w:t>
            </w:r>
          </w:p>
        </w:tc>
        <w:tc>
          <w:tcPr>
            <w:tcW w:w="3036" w:type="dxa"/>
            <w:tcBorders>
              <w:top w:val="single" w:color="auto" w:sz="4" w:space="0"/>
              <w:left w:val="nil"/>
              <w:bottom w:val="single" w:color="auto" w:sz="4" w:space="0"/>
              <w:right w:val="single" w:color="auto" w:sz="4" w:space="0"/>
            </w:tcBorders>
            <w:noWrap w:val="0"/>
            <w:vAlign w:val="center"/>
          </w:tcPr>
          <w:p w14:paraId="25946B48">
            <w:pPr>
              <w:widowControl/>
              <w:spacing w:line="280" w:lineRule="exact"/>
              <w:jc w:val="left"/>
              <w:rPr>
                <w:rFonts w:eastAsia="仿宋" w:cs="Times New Roman"/>
                <w:kern w:val="0"/>
                <w:sz w:val="24"/>
                <w:szCs w:val="24"/>
              </w:rPr>
            </w:pPr>
            <w:r>
              <w:rPr>
                <w:rFonts w:eastAsia="仿宋" w:cs="Times New Roman"/>
                <w:kern w:val="0"/>
                <w:sz w:val="24"/>
                <w:szCs w:val="24"/>
              </w:rPr>
              <w:t>公用经费控制率≤100%，得2分；</w:t>
            </w:r>
            <w:r>
              <w:rPr>
                <w:rFonts w:eastAsia="仿宋" w:cs="Times New Roman"/>
                <w:kern w:val="0"/>
                <w:sz w:val="24"/>
                <w:szCs w:val="24"/>
              </w:rPr>
              <w:br w:type="textWrapping"/>
            </w:r>
            <w:r>
              <w:rPr>
                <w:rFonts w:eastAsia="仿宋" w:cs="Times New Roman"/>
                <w:kern w:val="0"/>
                <w:sz w:val="24"/>
                <w:szCs w:val="24"/>
              </w:rPr>
              <w:t>每超过5%，扣1分，扣完为止。</w:t>
            </w:r>
          </w:p>
        </w:tc>
        <w:tc>
          <w:tcPr>
            <w:tcW w:w="726" w:type="dxa"/>
            <w:tcBorders>
              <w:top w:val="single" w:color="auto" w:sz="4" w:space="0"/>
              <w:left w:val="nil"/>
              <w:bottom w:val="single" w:color="auto" w:sz="4" w:space="0"/>
              <w:right w:val="single" w:color="auto" w:sz="4" w:space="0"/>
            </w:tcBorders>
            <w:noWrap/>
            <w:vAlign w:val="center"/>
          </w:tcPr>
          <w:p w14:paraId="25128A4A">
            <w:pPr>
              <w:widowControl/>
              <w:jc w:val="left"/>
              <w:rPr>
                <w:rFonts w:eastAsia="仿宋" w:cs="Times New Roman"/>
                <w:kern w:val="0"/>
                <w:sz w:val="24"/>
                <w:szCs w:val="24"/>
              </w:rPr>
            </w:pPr>
            <w:r>
              <w:rPr>
                <w:rFonts w:eastAsia="仿宋" w:cs="Times New Roman"/>
                <w:kern w:val="0"/>
                <w:sz w:val="24"/>
                <w:szCs w:val="24"/>
              </w:rPr>
              <w:t>　2</w:t>
            </w:r>
          </w:p>
        </w:tc>
      </w:tr>
      <w:tr w14:paraId="002A5778">
        <w:tblPrEx>
          <w:tblCellMar>
            <w:top w:w="0" w:type="dxa"/>
            <w:left w:w="108" w:type="dxa"/>
            <w:bottom w:w="0" w:type="dxa"/>
            <w:right w:w="108" w:type="dxa"/>
          </w:tblCellMar>
        </w:tblPrEx>
        <w:trPr>
          <w:trHeight w:val="2542"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4E7EAD9A">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0AD4A837">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25D672F2">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25F0ECC0">
            <w:pPr>
              <w:widowControl/>
              <w:spacing w:line="280" w:lineRule="exact"/>
              <w:jc w:val="left"/>
              <w:rPr>
                <w:rFonts w:eastAsia="仿宋" w:cs="Times New Roman"/>
                <w:kern w:val="0"/>
                <w:sz w:val="24"/>
                <w:szCs w:val="24"/>
              </w:rPr>
            </w:pPr>
            <w:r>
              <w:rPr>
                <w:rFonts w:eastAsia="仿宋" w:cs="Times New Roman"/>
                <w:kern w:val="0"/>
                <w:sz w:val="24"/>
                <w:szCs w:val="24"/>
              </w:rPr>
              <w:t>“三公经费”控制率</w:t>
            </w:r>
          </w:p>
        </w:tc>
        <w:tc>
          <w:tcPr>
            <w:tcW w:w="516" w:type="dxa"/>
            <w:tcBorders>
              <w:top w:val="single" w:color="auto" w:sz="4" w:space="0"/>
              <w:left w:val="nil"/>
              <w:bottom w:val="single" w:color="auto" w:sz="4" w:space="0"/>
              <w:right w:val="single" w:color="auto" w:sz="4" w:space="0"/>
            </w:tcBorders>
            <w:noWrap w:val="0"/>
            <w:vAlign w:val="center"/>
          </w:tcPr>
          <w:p w14:paraId="465D9A54">
            <w:pPr>
              <w:widowControl/>
              <w:spacing w:line="280" w:lineRule="exact"/>
              <w:jc w:val="center"/>
              <w:rPr>
                <w:rFonts w:eastAsia="仿宋" w:cs="Times New Roman"/>
                <w:kern w:val="0"/>
                <w:sz w:val="24"/>
                <w:szCs w:val="24"/>
              </w:rPr>
            </w:pPr>
            <w:r>
              <w:rPr>
                <w:rFonts w:eastAsia="仿宋" w:cs="Times New Roman"/>
                <w:kern w:val="0"/>
                <w:sz w:val="24"/>
                <w:szCs w:val="24"/>
              </w:rPr>
              <w:t>1</w:t>
            </w:r>
          </w:p>
        </w:tc>
        <w:tc>
          <w:tcPr>
            <w:tcW w:w="3752" w:type="dxa"/>
            <w:tcBorders>
              <w:top w:val="single" w:color="auto" w:sz="4" w:space="0"/>
              <w:left w:val="nil"/>
              <w:bottom w:val="single" w:color="auto" w:sz="4" w:space="0"/>
              <w:right w:val="single" w:color="auto" w:sz="4" w:space="0"/>
            </w:tcBorders>
            <w:noWrap w:val="0"/>
            <w:vAlign w:val="center"/>
          </w:tcPr>
          <w:p w14:paraId="28028E75">
            <w:pPr>
              <w:widowControl/>
              <w:spacing w:line="280" w:lineRule="exact"/>
              <w:jc w:val="left"/>
              <w:rPr>
                <w:rFonts w:eastAsia="仿宋" w:cs="Times New Roman"/>
                <w:kern w:val="0"/>
                <w:sz w:val="24"/>
                <w:szCs w:val="24"/>
              </w:rPr>
            </w:pPr>
            <w:r>
              <w:rPr>
                <w:rFonts w:eastAsia="仿宋" w:cs="Times New Roman"/>
                <w:kern w:val="0"/>
                <w:sz w:val="24"/>
                <w:szCs w:val="24"/>
              </w:rPr>
              <w:t xml:space="preserve">  部门本年度“三公经费”实际支出数与预算安排数的比率，用以反映和考核部门对“三公经费”的实际控制程度。</w:t>
            </w:r>
            <w:r>
              <w:rPr>
                <w:rFonts w:eastAsia="仿宋" w:cs="Times New Roman"/>
                <w:kern w:val="0"/>
                <w:sz w:val="24"/>
                <w:szCs w:val="24"/>
              </w:rPr>
              <w:br w:type="textWrapping"/>
            </w:r>
            <w:r>
              <w:rPr>
                <w:rFonts w:eastAsia="仿宋" w:cs="Times New Roman"/>
                <w:kern w:val="0"/>
                <w:sz w:val="24"/>
                <w:szCs w:val="24"/>
              </w:rPr>
              <w:t xml:space="preserve">  “三公经费”控制率=（“三公经费”实际支出数/“三公经费”预算安排数）×100%。</w:t>
            </w:r>
          </w:p>
        </w:tc>
        <w:tc>
          <w:tcPr>
            <w:tcW w:w="3036" w:type="dxa"/>
            <w:tcBorders>
              <w:top w:val="single" w:color="auto" w:sz="4" w:space="0"/>
              <w:left w:val="nil"/>
              <w:bottom w:val="single" w:color="auto" w:sz="4" w:space="0"/>
              <w:right w:val="single" w:color="auto" w:sz="4" w:space="0"/>
            </w:tcBorders>
            <w:noWrap w:val="0"/>
            <w:vAlign w:val="center"/>
          </w:tcPr>
          <w:p w14:paraId="70F2ACBD">
            <w:pPr>
              <w:widowControl/>
              <w:spacing w:line="280" w:lineRule="exact"/>
              <w:jc w:val="left"/>
              <w:rPr>
                <w:rFonts w:eastAsia="仿宋" w:cs="Times New Roman"/>
                <w:kern w:val="0"/>
                <w:sz w:val="24"/>
                <w:szCs w:val="24"/>
              </w:rPr>
            </w:pPr>
            <w:r>
              <w:rPr>
                <w:rFonts w:eastAsia="仿宋" w:cs="Times New Roman"/>
                <w:kern w:val="0"/>
                <w:sz w:val="24"/>
                <w:szCs w:val="24"/>
              </w:rPr>
              <w:t>“三公经费”控制率≤100%，得1分；</w:t>
            </w:r>
            <w:r>
              <w:rPr>
                <w:rFonts w:eastAsia="仿宋" w:cs="Times New Roman"/>
                <w:kern w:val="0"/>
                <w:sz w:val="24"/>
                <w:szCs w:val="24"/>
              </w:rPr>
              <w:br w:type="textWrapping"/>
            </w:r>
            <w:r>
              <w:rPr>
                <w:rFonts w:eastAsia="仿宋" w:cs="Times New Roman"/>
                <w:kern w:val="0"/>
                <w:sz w:val="24"/>
                <w:szCs w:val="24"/>
              </w:rPr>
              <w:t>每超过5%，扣0.5分，扣完为止。</w:t>
            </w:r>
          </w:p>
        </w:tc>
        <w:tc>
          <w:tcPr>
            <w:tcW w:w="726" w:type="dxa"/>
            <w:tcBorders>
              <w:top w:val="single" w:color="auto" w:sz="4" w:space="0"/>
              <w:left w:val="nil"/>
              <w:bottom w:val="single" w:color="auto" w:sz="4" w:space="0"/>
              <w:right w:val="single" w:color="auto" w:sz="4" w:space="0"/>
            </w:tcBorders>
            <w:noWrap/>
            <w:vAlign w:val="center"/>
          </w:tcPr>
          <w:p w14:paraId="2A4A5178">
            <w:pPr>
              <w:widowControl/>
              <w:jc w:val="left"/>
              <w:rPr>
                <w:rFonts w:eastAsia="仿宋" w:cs="Times New Roman"/>
                <w:kern w:val="0"/>
                <w:sz w:val="24"/>
                <w:szCs w:val="24"/>
              </w:rPr>
            </w:pPr>
            <w:r>
              <w:rPr>
                <w:rFonts w:eastAsia="仿宋" w:cs="Times New Roman"/>
                <w:kern w:val="0"/>
                <w:sz w:val="24"/>
                <w:szCs w:val="24"/>
              </w:rPr>
              <w:t>　1</w:t>
            </w:r>
          </w:p>
        </w:tc>
      </w:tr>
      <w:tr w14:paraId="0238BC76">
        <w:tblPrEx>
          <w:tblCellMar>
            <w:top w:w="0" w:type="dxa"/>
            <w:left w:w="108" w:type="dxa"/>
            <w:bottom w:w="0" w:type="dxa"/>
            <w:right w:w="108" w:type="dxa"/>
          </w:tblCellMar>
        </w:tblPrEx>
        <w:trPr>
          <w:trHeight w:val="2542"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4DB99968">
            <w:pPr>
              <w:widowControl/>
              <w:spacing w:line="280" w:lineRule="exact"/>
              <w:jc w:val="center"/>
              <w:rPr>
                <w:rFonts w:eastAsia="仿宋" w:cs="Times New Roman"/>
                <w:kern w:val="0"/>
                <w:sz w:val="24"/>
                <w:szCs w:val="24"/>
              </w:rPr>
            </w:pPr>
            <w:r>
              <w:rPr>
                <w:rFonts w:eastAsia="仿宋" w:cs="Times New Roman"/>
                <w:kern w:val="0"/>
                <w:sz w:val="24"/>
                <w:szCs w:val="24"/>
              </w:rPr>
              <w:t>3</w:t>
            </w: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0C71D96D">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1909A025">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150FA135">
            <w:pPr>
              <w:widowControl/>
              <w:spacing w:line="280" w:lineRule="exact"/>
              <w:jc w:val="left"/>
              <w:rPr>
                <w:rFonts w:eastAsia="仿宋" w:cs="Times New Roman"/>
                <w:kern w:val="0"/>
                <w:sz w:val="24"/>
                <w:szCs w:val="24"/>
              </w:rPr>
            </w:pPr>
            <w:r>
              <w:rPr>
                <w:rFonts w:eastAsia="仿宋" w:cs="Times New Roman"/>
                <w:kern w:val="0"/>
                <w:sz w:val="24"/>
                <w:szCs w:val="24"/>
              </w:rPr>
              <w:t>政府采购执行率</w:t>
            </w:r>
          </w:p>
        </w:tc>
        <w:tc>
          <w:tcPr>
            <w:tcW w:w="516" w:type="dxa"/>
            <w:tcBorders>
              <w:top w:val="single" w:color="auto" w:sz="4" w:space="0"/>
              <w:left w:val="nil"/>
              <w:bottom w:val="single" w:color="auto" w:sz="4" w:space="0"/>
              <w:right w:val="single" w:color="auto" w:sz="4" w:space="0"/>
            </w:tcBorders>
            <w:noWrap w:val="0"/>
            <w:vAlign w:val="center"/>
          </w:tcPr>
          <w:p w14:paraId="5D72588C">
            <w:pPr>
              <w:widowControl/>
              <w:spacing w:line="280" w:lineRule="exact"/>
              <w:jc w:val="center"/>
              <w:rPr>
                <w:rFonts w:eastAsia="仿宋" w:cs="Times New Roman"/>
                <w:kern w:val="0"/>
                <w:sz w:val="24"/>
                <w:szCs w:val="24"/>
              </w:rPr>
            </w:pPr>
            <w:r>
              <w:rPr>
                <w:rFonts w:eastAsia="仿宋" w:cs="Times New Roman"/>
                <w:kern w:val="0"/>
                <w:sz w:val="24"/>
                <w:szCs w:val="24"/>
              </w:rPr>
              <w:t>2</w:t>
            </w:r>
          </w:p>
        </w:tc>
        <w:tc>
          <w:tcPr>
            <w:tcW w:w="3752" w:type="dxa"/>
            <w:tcBorders>
              <w:top w:val="single" w:color="auto" w:sz="4" w:space="0"/>
              <w:left w:val="nil"/>
              <w:bottom w:val="single" w:color="auto" w:sz="4" w:space="0"/>
              <w:right w:val="single" w:color="auto" w:sz="4" w:space="0"/>
            </w:tcBorders>
            <w:noWrap w:val="0"/>
            <w:vAlign w:val="center"/>
          </w:tcPr>
          <w:p w14:paraId="76F8F4C6">
            <w:pPr>
              <w:widowControl/>
              <w:spacing w:line="280" w:lineRule="exact"/>
              <w:jc w:val="left"/>
              <w:rPr>
                <w:rFonts w:eastAsia="仿宋" w:cs="Times New Roman"/>
                <w:kern w:val="0"/>
                <w:sz w:val="24"/>
                <w:szCs w:val="24"/>
              </w:rPr>
            </w:pPr>
            <w:r>
              <w:rPr>
                <w:rFonts w:eastAsia="仿宋" w:cs="Times New Roman"/>
                <w:kern w:val="0"/>
                <w:sz w:val="24"/>
                <w:szCs w:val="24"/>
              </w:rPr>
              <w:t xml:space="preserve">  部门本年度实际政府采购金额与年初政府采购预算的比率，用以反映和考核部门政府采购预算执行情况。</w:t>
            </w:r>
            <w:r>
              <w:rPr>
                <w:rFonts w:eastAsia="仿宋" w:cs="Times New Roman"/>
                <w:kern w:val="0"/>
                <w:sz w:val="24"/>
                <w:szCs w:val="24"/>
              </w:rPr>
              <w:br w:type="textWrapping"/>
            </w:r>
            <w:r>
              <w:rPr>
                <w:rFonts w:eastAsia="仿宋" w:cs="Times New Roman"/>
                <w:kern w:val="0"/>
                <w:sz w:val="24"/>
                <w:szCs w:val="24"/>
              </w:rPr>
              <w:t xml:space="preserve">  政府采购执行率=（实际政府采购金额/政府采购预算数）×100%；</w:t>
            </w:r>
            <w:r>
              <w:rPr>
                <w:rFonts w:eastAsia="仿宋" w:cs="Times New Roman"/>
                <w:kern w:val="0"/>
                <w:sz w:val="24"/>
                <w:szCs w:val="24"/>
              </w:rPr>
              <w:br w:type="textWrapping"/>
            </w:r>
            <w:r>
              <w:rPr>
                <w:rFonts w:eastAsia="仿宋" w:cs="Times New Roman"/>
                <w:kern w:val="0"/>
                <w:sz w:val="24"/>
                <w:szCs w:val="24"/>
              </w:rPr>
              <w:t xml:space="preserve">  政府采购预算：采购机关根据事业发展计划和行政任务编制的、并经过规定程序批准的年度政府采购计划。 </w:t>
            </w:r>
          </w:p>
        </w:tc>
        <w:tc>
          <w:tcPr>
            <w:tcW w:w="3036" w:type="dxa"/>
            <w:tcBorders>
              <w:top w:val="single" w:color="auto" w:sz="4" w:space="0"/>
              <w:left w:val="nil"/>
              <w:bottom w:val="single" w:color="auto" w:sz="4" w:space="0"/>
              <w:right w:val="single" w:color="auto" w:sz="4" w:space="0"/>
            </w:tcBorders>
            <w:noWrap w:val="0"/>
            <w:vAlign w:val="center"/>
          </w:tcPr>
          <w:p w14:paraId="59A27ADE">
            <w:pPr>
              <w:widowControl/>
              <w:spacing w:line="280" w:lineRule="exact"/>
              <w:jc w:val="left"/>
              <w:rPr>
                <w:rFonts w:eastAsia="仿宋" w:cs="Times New Roman"/>
                <w:kern w:val="0"/>
                <w:sz w:val="24"/>
                <w:szCs w:val="24"/>
              </w:rPr>
            </w:pPr>
            <w:r>
              <w:rPr>
                <w:rFonts w:eastAsia="仿宋" w:cs="Times New Roman"/>
                <w:kern w:val="0"/>
                <w:sz w:val="24"/>
                <w:szCs w:val="24"/>
              </w:rPr>
              <w:t>政府采购执行率=100%，得2分；</w:t>
            </w:r>
            <w:r>
              <w:rPr>
                <w:rFonts w:eastAsia="仿宋" w:cs="Times New Roman"/>
                <w:kern w:val="0"/>
                <w:sz w:val="24"/>
                <w:szCs w:val="24"/>
              </w:rPr>
              <w:br w:type="textWrapping"/>
            </w:r>
            <w:r>
              <w:rPr>
                <w:rFonts w:eastAsia="仿宋" w:cs="Times New Roman"/>
                <w:kern w:val="0"/>
                <w:sz w:val="24"/>
                <w:szCs w:val="24"/>
              </w:rPr>
              <w:t>每超过（降低）5%，扣1分，扣完为止。</w:t>
            </w:r>
          </w:p>
        </w:tc>
        <w:tc>
          <w:tcPr>
            <w:tcW w:w="726" w:type="dxa"/>
            <w:tcBorders>
              <w:top w:val="single" w:color="auto" w:sz="4" w:space="0"/>
              <w:left w:val="nil"/>
              <w:bottom w:val="single" w:color="auto" w:sz="4" w:space="0"/>
              <w:right w:val="single" w:color="auto" w:sz="4" w:space="0"/>
            </w:tcBorders>
            <w:noWrap/>
            <w:vAlign w:val="center"/>
          </w:tcPr>
          <w:p w14:paraId="7462EB9B">
            <w:pPr>
              <w:widowControl/>
              <w:jc w:val="left"/>
              <w:rPr>
                <w:rFonts w:eastAsia="仿宋" w:cs="Times New Roman"/>
                <w:kern w:val="0"/>
                <w:sz w:val="24"/>
                <w:szCs w:val="24"/>
              </w:rPr>
            </w:pPr>
            <w:r>
              <w:rPr>
                <w:rFonts w:eastAsia="仿宋" w:cs="Times New Roman"/>
                <w:kern w:val="0"/>
                <w:sz w:val="24"/>
                <w:szCs w:val="24"/>
              </w:rPr>
              <w:t>　2</w:t>
            </w:r>
          </w:p>
        </w:tc>
      </w:tr>
      <w:tr w14:paraId="326934BA">
        <w:tblPrEx>
          <w:tblCellMar>
            <w:top w:w="0" w:type="dxa"/>
            <w:left w:w="108" w:type="dxa"/>
            <w:bottom w:w="0" w:type="dxa"/>
            <w:right w:w="108" w:type="dxa"/>
          </w:tblCellMar>
        </w:tblPrEx>
        <w:trPr>
          <w:trHeight w:val="3275" w:hRule="atLeast"/>
          <w:jc w:val="center"/>
        </w:trPr>
        <w:tc>
          <w:tcPr>
            <w:tcW w:w="731"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471C0417">
            <w:pPr>
              <w:widowControl/>
              <w:spacing w:line="280" w:lineRule="exact"/>
              <w:jc w:val="center"/>
              <w:rPr>
                <w:rFonts w:eastAsia="仿宋" w:cs="Times New Roman"/>
                <w:kern w:val="0"/>
                <w:sz w:val="24"/>
                <w:szCs w:val="24"/>
              </w:rPr>
            </w:pPr>
            <w:r>
              <w:rPr>
                <w:rFonts w:eastAsia="仿宋" w:cs="Times New Roman"/>
                <w:kern w:val="0"/>
                <w:sz w:val="24"/>
                <w:szCs w:val="24"/>
              </w:rPr>
              <w:t>过程</w:t>
            </w:r>
          </w:p>
        </w:tc>
        <w:tc>
          <w:tcPr>
            <w:tcW w:w="638" w:type="dxa"/>
            <w:vMerge w:val="restart"/>
            <w:tcBorders>
              <w:top w:val="single" w:color="auto" w:sz="4" w:space="0"/>
              <w:left w:val="single" w:color="auto" w:sz="4" w:space="0"/>
              <w:bottom w:val="single" w:color="auto" w:sz="4" w:space="0"/>
              <w:right w:val="single" w:color="auto" w:sz="4" w:space="0"/>
            </w:tcBorders>
            <w:noWrap w:val="0"/>
            <w:vAlign w:val="center"/>
          </w:tcPr>
          <w:p w14:paraId="11CAD389">
            <w:pPr>
              <w:widowControl/>
              <w:spacing w:line="280" w:lineRule="exact"/>
              <w:jc w:val="center"/>
              <w:rPr>
                <w:rFonts w:eastAsia="仿宋" w:cs="Times New Roman"/>
                <w:kern w:val="0"/>
                <w:sz w:val="24"/>
                <w:szCs w:val="24"/>
              </w:rPr>
            </w:pPr>
            <w:r>
              <w:rPr>
                <w:rFonts w:eastAsia="仿宋" w:cs="Times New Roman"/>
                <w:kern w:val="0"/>
                <w:sz w:val="24"/>
                <w:szCs w:val="24"/>
              </w:rPr>
              <w:t>预算</w:t>
            </w:r>
            <w:r>
              <w:rPr>
                <w:rFonts w:eastAsia="仿宋" w:cs="Times New Roman"/>
                <w:kern w:val="0"/>
                <w:sz w:val="24"/>
                <w:szCs w:val="24"/>
              </w:rPr>
              <w:br w:type="textWrapping"/>
            </w:r>
            <w:r>
              <w:rPr>
                <w:rFonts w:eastAsia="仿宋" w:cs="Times New Roman"/>
                <w:kern w:val="0"/>
                <w:sz w:val="24"/>
                <w:szCs w:val="24"/>
              </w:rPr>
              <w:t>管理</w:t>
            </w:r>
          </w:p>
        </w:tc>
        <w:tc>
          <w:tcPr>
            <w:tcW w:w="548" w:type="dxa"/>
            <w:vMerge w:val="restart"/>
            <w:tcBorders>
              <w:top w:val="single" w:color="auto" w:sz="4" w:space="0"/>
              <w:left w:val="single" w:color="auto" w:sz="4" w:space="0"/>
              <w:bottom w:val="single" w:color="auto" w:sz="4" w:space="0"/>
              <w:right w:val="single" w:color="auto" w:sz="4" w:space="0"/>
            </w:tcBorders>
            <w:noWrap w:val="0"/>
            <w:vAlign w:val="center"/>
          </w:tcPr>
          <w:p w14:paraId="540FDE87">
            <w:pPr>
              <w:widowControl/>
              <w:spacing w:line="280" w:lineRule="exact"/>
              <w:jc w:val="center"/>
              <w:rPr>
                <w:rFonts w:eastAsia="仿宋" w:cs="Times New Roman"/>
                <w:kern w:val="0"/>
                <w:sz w:val="24"/>
                <w:szCs w:val="24"/>
              </w:rPr>
            </w:pPr>
            <w:r>
              <w:rPr>
                <w:rFonts w:eastAsia="仿宋" w:cs="Times New Roman"/>
                <w:kern w:val="0"/>
                <w:sz w:val="24"/>
                <w:szCs w:val="24"/>
              </w:rPr>
              <w:t>9</w:t>
            </w:r>
          </w:p>
        </w:tc>
        <w:tc>
          <w:tcPr>
            <w:tcW w:w="676" w:type="dxa"/>
            <w:tcBorders>
              <w:top w:val="single" w:color="auto" w:sz="4" w:space="0"/>
              <w:left w:val="nil"/>
              <w:bottom w:val="single" w:color="auto" w:sz="4" w:space="0"/>
              <w:right w:val="single" w:color="auto" w:sz="4" w:space="0"/>
            </w:tcBorders>
            <w:noWrap w:val="0"/>
            <w:vAlign w:val="center"/>
          </w:tcPr>
          <w:p w14:paraId="6F6F75A8">
            <w:pPr>
              <w:widowControl/>
              <w:spacing w:line="280" w:lineRule="exact"/>
              <w:jc w:val="left"/>
              <w:rPr>
                <w:rFonts w:eastAsia="仿宋" w:cs="Times New Roman"/>
                <w:kern w:val="0"/>
                <w:sz w:val="24"/>
                <w:szCs w:val="24"/>
              </w:rPr>
            </w:pPr>
            <w:r>
              <w:rPr>
                <w:rFonts w:eastAsia="仿宋" w:cs="Times New Roman"/>
                <w:kern w:val="0"/>
                <w:sz w:val="24"/>
                <w:szCs w:val="24"/>
              </w:rPr>
              <w:t>管理制度健全性</w:t>
            </w:r>
          </w:p>
        </w:tc>
        <w:tc>
          <w:tcPr>
            <w:tcW w:w="516" w:type="dxa"/>
            <w:tcBorders>
              <w:top w:val="single" w:color="auto" w:sz="4" w:space="0"/>
              <w:left w:val="nil"/>
              <w:bottom w:val="single" w:color="auto" w:sz="4" w:space="0"/>
              <w:right w:val="single" w:color="auto" w:sz="4" w:space="0"/>
            </w:tcBorders>
            <w:noWrap w:val="0"/>
            <w:vAlign w:val="center"/>
          </w:tcPr>
          <w:p w14:paraId="47D32666">
            <w:pPr>
              <w:widowControl/>
              <w:spacing w:line="280" w:lineRule="exact"/>
              <w:jc w:val="center"/>
              <w:rPr>
                <w:rFonts w:eastAsia="仿宋" w:cs="Times New Roman"/>
                <w:kern w:val="0"/>
                <w:sz w:val="24"/>
                <w:szCs w:val="24"/>
              </w:rPr>
            </w:pPr>
            <w:r>
              <w:rPr>
                <w:rFonts w:eastAsia="仿宋" w:cs="Times New Roman"/>
                <w:kern w:val="0"/>
                <w:sz w:val="24"/>
                <w:szCs w:val="24"/>
              </w:rPr>
              <w:t>2</w:t>
            </w:r>
          </w:p>
        </w:tc>
        <w:tc>
          <w:tcPr>
            <w:tcW w:w="3752" w:type="dxa"/>
            <w:tcBorders>
              <w:top w:val="single" w:color="auto" w:sz="4" w:space="0"/>
              <w:left w:val="nil"/>
              <w:bottom w:val="single" w:color="auto" w:sz="4" w:space="0"/>
              <w:right w:val="single" w:color="auto" w:sz="4" w:space="0"/>
            </w:tcBorders>
            <w:noWrap w:val="0"/>
            <w:vAlign w:val="center"/>
          </w:tcPr>
          <w:p w14:paraId="4E994E5C">
            <w:pPr>
              <w:widowControl/>
              <w:spacing w:line="280" w:lineRule="exact"/>
              <w:jc w:val="left"/>
              <w:rPr>
                <w:rFonts w:eastAsia="仿宋" w:cs="Times New Roman"/>
                <w:kern w:val="0"/>
                <w:sz w:val="24"/>
                <w:szCs w:val="24"/>
              </w:rPr>
            </w:pPr>
            <w:r>
              <w:rPr>
                <w:rFonts w:eastAsia="仿宋" w:cs="Times New Roman"/>
                <w:kern w:val="0"/>
                <w:sz w:val="24"/>
                <w:szCs w:val="24"/>
              </w:rPr>
              <w:t xml:space="preserve">  部门为加强预算管理、规范财务行为而制定的管理制度是否健全完整，用以反映和考核部门预算管理制度对完成主要职责或促进事业发展的保障情况。</w:t>
            </w:r>
          </w:p>
        </w:tc>
        <w:tc>
          <w:tcPr>
            <w:tcW w:w="3036" w:type="dxa"/>
            <w:tcBorders>
              <w:top w:val="single" w:color="auto" w:sz="4" w:space="0"/>
              <w:left w:val="nil"/>
              <w:bottom w:val="single" w:color="auto" w:sz="4" w:space="0"/>
              <w:right w:val="single" w:color="auto" w:sz="4" w:space="0"/>
            </w:tcBorders>
            <w:noWrap w:val="0"/>
            <w:vAlign w:val="center"/>
          </w:tcPr>
          <w:p w14:paraId="050D426B">
            <w:pPr>
              <w:widowControl/>
              <w:spacing w:line="280" w:lineRule="exact"/>
              <w:jc w:val="left"/>
              <w:rPr>
                <w:rFonts w:eastAsia="仿宋" w:cs="Times New Roman"/>
                <w:kern w:val="0"/>
                <w:sz w:val="24"/>
                <w:szCs w:val="24"/>
              </w:rPr>
            </w:pPr>
            <w:r>
              <w:rPr>
                <w:rFonts w:hint="eastAsia" w:ascii="宋体" w:hAnsi="宋体" w:cs="宋体"/>
                <w:kern w:val="0"/>
                <w:sz w:val="24"/>
                <w:szCs w:val="24"/>
              </w:rPr>
              <w:t>①</w:t>
            </w:r>
            <w:r>
              <w:rPr>
                <w:rFonts w:eastAsia="仿宋" w:cs="Times New Roman"/>
                <w:kern w:val="0"/>
                <w:sz w:val="24"/>
                <w:szCs w:val="24"/>
              </w:rPr>
              <w:t>是否已制定或具有预算资金管理办法、内部财务管理制度、会计核算制度、本部门厉行节约制度等管理制度；</w:t>
            </w:r>
            <w:r>
              <w:rPr>
                <w:rFonts w:eastAsia="仿宋" w:cs="Times New Roman"/>
                <w:kern w:val="0"/>
                <w:sz w:val="24"/>
                <w:szCs w:val="24"/>
              </w:rPr>
              <w:br w:type="textWrapping"/>
            </w:r>
            <w:r>
              <w:rPr>
                <w:rFonts w:hint="eastAsia" w:ascii="宋体" w:hAnsi="宋体" w:cs="宋体"/>
                <w:kern w:val="0"/>
                <w:sz w:val="24"/>
                <w:szCs w:val="24"/>
              </w:rPr>
              <w:t>②</w:t>
            </w:r>
            <w:r>
              <w:rPr>
                <w:rFonts w:eastAsia="仿宋" w:cs="Times New Roman"/>
                <w:kern w:val="0"/>
                <w:sz w:val="24"/>
                <w:szCs w:val="24"/>
              </w:rPr>
              <w:t>相关管理制度是否合法、合规、完整；</w:t>
            </w:r>
            <w:r>
              <w:rPr>
                <w:rFonts w:eastAsia="仿宋" w:cs="Times New Roman"/>
                <w:kern w:val="0"/>
                <w:sz w:val="24"/>
                <w:szCs w:val="24"/>
              </w:rPr>
              <w:br w:type="textWrapping"/>
            </w:r>
            <w:r>
              <w:rPr>
                <w:rFonts w:hint="eastAsia" w:ascii="宋体" w:hAnsi="宋体" w:cs="宋体"/>
                <w:kern w:val="0"/>
                <w:sz w:val="24"/>
                <w:szCs w:val="24"/>
              </w:rPr>
              <w:t>③</w:t>
            </w:r>
            <w:r>
              <w:rPr>
                <w:rFonts w:eastAsia="仿宋" w:cs="Times New Roman"/>
                <w:kern w:val="0"/>
                <w:sz w:val="24"/>
                <w:szCs w:val="24"/>
              </w:rPr>
              <w:t>相关管理制度是否得到有效执行。</w:t>
            </w:r>
            <w:r>
              <w:rPr>
                <w:rFonts w:eastAsia="仿宋" w:cs="Times New Roman"/>
                <w:kern w:val="0"/>
                <w:sz w:val="24"/>
                <w:szCs w:val="24"/>
              </w:rPr>
              <w:br w:type="textWrapping"/>
            </w:r>
            <w:r>
              <w:rPr>
                <w:rFonts w:eastAsia="仿宋" w:cs="Times New Roman"/>
                <w:kern w:val="0"/>
                <w:sz w:val="24"/>
                <w:szCs w:val="24"/>
              </w:rPr>
              <w:t>每发现一类不合规问题，扣1分，扣完为止。</w:t>
            </w:r>
          </w:p>
        </w:tc>
        <w:tc>
          <w:tcPr>
            <w:tcW w:w="726" w:type="dxa"/>
            <w:tcBorders>
              <w:top w:val="single" w:color="auto" w:sz="4" w:space="0"/>
              <w:left w:val="nil"/>
              <w:bottom w:val="single" w:color="auto" w:sz="4" w:space="0"/>
              <w:right w:val="single" w:color="auto" w:sz="4" w:space="0"/>
            </w:tcBorders>
            <w:noWrap/>
            <w:vAlign w:val="center"/>
          </w:tcPr>
          <w:p w14:paraId="6F3E0D70">
            <w:pPr>
              <w:widowControl/>
              <w:jc w:val="left"/>
              <w:rPr>
                <w:rFonts w:eastAsia="仿宋" w:cs="Times New Roman"/>
                <w:kern w:val="0"/>
                <w:sz w:val="24"/>
                <w:szCs w:val="24"/>
              </w:rPr>
            </w:pPr>
            <w:r>
              <w:rPr>
                <w:rFonts w:eastAsia="仿宋" w:cs="Times New Roman"/>
                <w:kern w:val="0"/>
                <w:sz w:val="24"/>
                <w:szCs w:val="24"/>
              </w:rPr>
              <w:t>　2</w:t>
            </w:r>
          </w:p>
        </w:tc>
      </w:tr>
      <w:tr w14:paraId="571489D0">
        <w:tblPrEx>
          <w:tblCellMar>
            <w:top w:w="0" w:type="dxa"/>
            <w:left w:w="108" w:type="dxa"/>
            <w:bottom w:w="0" w:type="dxa"/>
            <w:right w:w="108" w:type="dxa"/>
          </w:tblCellMar>
        </w:tblPrEx>
        <w:trPr>
          <w:trHeight w:val="4099"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732C1601">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30C780BD">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354ABCEB">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40A62148">
            <w:pPr>
              <w:widowControl/>
              <w:spacing w:line="280" w:lineRule="exact"/>
              <w:jc w:val="left"/>
              <w:rPr>
                <w:rFonts w:eastAsia="仿宋" w:cs="Times New Roman"/>
                <w:kern w:val="0"/>
                <w:sz w:val="24"/>
                <w:szCs w:val="24"/>
              </w:rPr>
            </w:pPr>
            <w:r>
              <w:rPr>
                <w:rFonts w:eastAsia="仿宋" w:cs="Times New Roman"/>
                <w:kern w:val="0"/>
                <w:sz w:val="24"/>
                <w:szCs w:val="24"/>
              </w:rPr>
              <w:t>资金使用合规性</w:t>
            </w:r>
          </w:p>
        </w:tc>
        <w:tc>
          <w:tcPr>
            <w:tcW w:w="516" w:type="dxa"/>
            <w:tcBorders>
              <w:top w:val="single" w:color="auto" w:sz="4" w:space="0"/>
              <w:left w:val="nil"/>
              <w:bottom w:val="single" w:color="auto" w:sz="4" w:space="0"/>
              <w:right w:val="single" w:color="auto" w:sz="4" w:space="0"/>
            </w:tcBorders>
            <w:noWrap w:val="0"/>
            <w:vAlign w:val="center"/>
          </w:tcPr>
          <w:p w14:paraId="5CE46555">
            <w:pPr>
              <w:widowControl/>
              <w:spacing w:line="280" w:lineRule="exact"/>
              <w:jc w:val="center"/>
              <w:rPr>
                <w:rFonts w:eastAsia="仿宋" w:cs="Times New Roman"/>
                <w:kern w:val="0"/>
                <w:sz w:val="24"/>
                <w:szCs w:val="24"/>
              </w:rPr>
            </w:pPr>
            <w:r>
              <w:rPr>
                <w:rFonts w:eastAsia="仿宋" w:cs="Times New Roman"/>
                <w:kern w:val="0"/>
                <w:sz w:val="24"/>
                <w:szCs w:val="24"/>
              </w:rPr>
              <w:t>5</w:t>
            </w:r>
          </w:p>
        </w:tc>
        <w:tc>
          <w:tcPr>
            <w:tcW w:w="3752" w:type="dxa"/>
            <w:tcBorders>
              <w:top w:val="single" w:color="auto" w:sz="4" w:space="0"/>
              <w:left w:val="nil"/>
              <w:bottom w:val="single" w:color="auto" w:sz="4" w:space="0"/>
              <w:right w:val="single" w:color="auto" w:sz="4" w:space="0"/>
            </w:tcBorders>
            <w:noWrap w:val="0"/>
            <w:vAlign w:val="center"/>
          </w:tcPr>
          <w:p w14:paraId="2F84C69C">
            <w:pPr>
              <w:widowControl/>
              <w:spacing w:line="280" w:lineRule="exact"/>
              <w:jc w:val="left"/>
              <w:rPr>
                <w:rFonts w:eastAsia="仿宋" w:cs="Times New Roman"/>
                <w:kern w:val="0"/>
                <w:sz w:val="24"/>
                <w:szCs w:val="24"/>
              </w:rPr>
            </w:pPr>
            <w:r>
              <w:rPr>
                <w:rFonts w:eastAsia="仿宋" w:cs="Times New Roman"/>
                <w:kern w:val="0"/>
                <w:sz w:val="24"/>
                <w:szCs w:val="24"/>
              </w:rPr>
              <w:t xml:space="preserve">  部门使用预算资金是否符合相关的预算财务管理制度的规定，用以反映和考核部门预算资金的规范运行情况。</w:t>
            </w:r>
          </w:p>
        </w:tc>
        <w:tc>
          <w:tcPr>
            <w:tcW w:w="3036" w:type="dxa"/>
            <w:tcBorders>
              <w:top w:val="single" w:color="auto" w:sz="4" w:space="0"/>
              <w:left w:val="nil"/>
              <w:bottom w:val="single" w:color="auto" w:sz="4" w:space="0"/>
              <w:right w:val="single" w:color="auto" w:sz="4" w:space="0"/>
            </w:tcBorders>
            <w:noWrap w:val="0"/>
            <w:vAlign w:val="center"/>
          </w:tcPr>
          <w:p w14:paraId="2C8A9682">
            <w:pPr>
              <w:widowControl/>
              <w:spacing w:line="280" w:lineRule="exact"/>
              <w:jc w:val="left"/>
              <w:rPr>
                <w:rFonts w:eastAsia="仿宋" w:cs="Times New Roman"/>
                <w:kern w:val="0"/>
                <w:sz w:val="24"/>
                <w:szCs w:val="24"/>
              </w:rPr>
            </w:pPr>
            <w:r>
              <w:rPr>
                <w:rFonts w:hint="eastAsia" w:ascii="宋体" w:hAnsi="宋体" w:cs="宋体"/>
                <w:kern w:val="0"/>
                <w:sz w:val="24"/>
                <w:szCs w:val="24"/>
              </w:rPr>
              <w:t>①</w:t>
            </w:r>
            <w:r>
              <w:rPr>
                <w:rFonts w:eastAsia="仿宋" w:cs="Times New Roman"/>
                <w:kern w:val="0"/>
                <w:sz w:val="24"/>
                <w:szCs w:val="24"/>
              </w:rPr>
              <w:t>是否符合国家财经法规和财务管理制度规定以及有关预算支出管理办法的规定；</w:t>
            </w:r>
            <w:r>
              <w:rPr>
                <w:rFonts w:eastAsia="仿宋" w:cs="Times New Roman"/>
                <w:kern w:val="0"/>
                <w:sz w:val="24"/>
                <w:szCs w:val="24"/>
              </w:rPr>
              <w:br w:type="textWrapping"/>
            </w:r>
            <w:r>
              <w:rPr>
                <w:rFonts w:hint="eastAsia" w:ascii="宋体" w:hAnsi="宋体" w:cs="宋体"/>
                <w:kern w:val="0"/>
                <w:sz w:val="24"/>
                <w:szCs w:val="24"/>
              </w:rPr>
              <w:t>②</w:t>
            </w:r>
            <w:r>
              <w:rPr>
                <w:rFonts w:eastAsia="仿宋" w:cs="Times New Roman"/>
                <w:kern w:val="0"/>
                <w:sz w:val="24"/>
                <w:szCs w:val="24"/>
              </w:rPr>
              <w:t>资金的拨付是否有完整的审批程序和手续；</w:t>
            </w:r>
            <w:r>
              <w:rPr>
                <w:rFonts w:eastAsia="仿宋" w:cs="Times New Roman"/>
                <w:kern w:val="0"/>
                <w:sz w:val="24"/>
                <w:szCs w:val="24"/>
              </w:rPr>
              <w:br w:type="textWrapping"/>
            </w:r>
            <w:r>
              <w:rPr>
                <w:rFonts w:hint="eastAsia" w:ascii="宋体" w:hAnsi="宋体" w:cs="宋体"/>
                <w:kern w:val="0"/>
                <w:sz w:val="24"/>
                <w:szCs w:val="24"/>
              </w:rPr>
              <w:t>③</w:t>
            </w:r>
            <w:r>
              <w:rPr>
                <w:rFonts w:eastAsia="仿宋" w:cs="Times New Roman"/>
                <w:kern w:val="0"/>
                <w:sz w:val="24"/>
                <w:szCs w:val="24"/>
              </w:rPr>
              <w:t>预算支出的重大开支是否经过评估论证；</w:t>
            </w:r>
            <w:r>
              <w:rPr>
                <w:rFonts w:eastAsia="仿宋" w:cs="Times New Roman"/>
                <w:kern w:val="0"/>
                <w:sz w:val="24"/>
                <w:szCs w:val="24"/>
              </w:rPr>
              <w:br w:type="textWrapping"/>
            </w:r>
            <w:r>
              <w:rPr>
                <w:rFonts w:hint="eastAsia" w:ascii="宋体" w:hAnsi="宋体" w:cs="宋体"/>
                <w:kern w:val="0"/>
                <w:sz w:val="24"/>
                <w:szCs w:val="24"/>
              </w:rPr>
              <w:t>④</w:t>
            </w:r>
            <w:r>
              <w:rPr>
                <w:rFonts w:eastAsia="仿宋" w:cs="Times New Roman"/>
                <w:kern w:val="0"/>
                <w:sz w:val="24"/>
                <w:szCs w:val="24"/>
              </w:rPr>
              <w:t>是否符合部门预算批复的用途；</w:t>
            </w:r>
            <w:r>
              <w:rPr>
                <w:rFonts w:eastAsia="仿宋" w:cs="Times New Roman"/>
                <w:kern w:val="0"/>
                <w:sz w:val="24"/>
                <w:szCs w:val="24"/>
              </w:rPr>
              <w:br w:type="textWrapping"/>
            </w:r>
            <w:r>
              <w:rPr>
                <w:rFonts w:hint="eastAsia" w:ascii="宋体" w:hAnsi="宋体" w:cs="宋体"/>
                <w:kern w:val="0"/>
                <w:sz w:val="24"/>
                <w:szCs w:val="24"/>
              </w:rPr>
              <w:t>⑤</w:t>
            </w:r>
            <w:r>
              <w:rPr>
                <w:rFonts w:eastAsia="仿宋" w:cs="Times New Roman"/>
                <w:kern w:val="0"/>
                <w:sz w:val="24"/>
                <w:szCs w:val="24"/>
              </w:rPr>
              <w:t>是否存在截留、挤占、挪用、虚列支出等情况。</w:t>
            </w:r>
            <w:r>
              <w:rPr>
                <w:rFonts w:eastAsia="仿宋" w:cs="Times New Roman"/>
                <w:kern w:val="0"/>
                <w:sz w:val="24"/>
                <w:szCs w:val="24"/>
              </w:rPr>
              <w:br w:type="textWrapping"/>
            </w:r>
            <w:r>
              <w:rPr>
                <w:rFonts w:eastAsia="仿宋" w:cs="Times New Roman"/>
                <w:kern w:val="0"/>
                <w:sz w:val="24"/>
                <w:szCs w:val="24"/>
              </w:rPr>
              <w:t>每发现一类不合规问题，扣2分，扣完为止。</w:t>
            </w:r>
          </w:p>
        </w:tc>
        <w:tc>
          <w:tcPr>
            <w:tcW w:w="726" w:type="dxa"/>
            <w:tcBorders>
              <w:top w:val="single" w:color="auto" w:sz="4" w:space="0"/>
              <w:left w:val="nil"/>
              <w:bottom w:val="single" w:color="auto" w:sz="4" w:space="0"/>
              <w:right w:val="single" w:color="auto" w:sz="4" w:space="0"/>
            </w:tcBorders>
            <w:noWrap/>
            <w:vAlign w:val="center"/>
          </w:tcPr>
          <w:p w14:paraId="34AA742D">
            <w:pPr>
              <w:widowControl/>
              <w:jc w:val="left"/>
              <w:rPr>
                <w:rFonts w:eastAsia="仿宋" w:cs="Times New Roman"/>
                <w:kern w:val="0"/>
                <w:sz w:val="24"/>
                <w:szCs w:val="24"/>
              </w:rPr>
            </w:pPr>
            <w:r>
              <w:rPr>
                <w:rFonts w:eastAsia="仿宋" w:cs="Times New Roman"/>
                <w:kern w:val="0"/>
                <w:sz w:val="24"/>
                <w:szCs w:val="24"/>
              </w:rPr>
              <w:t>　5</w:t>
            </w:r>
          </w:p>
        </w:tc>
      </w:tr>
      <w:tr w14:paraId="087C7267">
        <w:tblPrEx>
          <w:tblCellMar>
            <w:top w:w="0" w:type="dxa"/>
            <w:left w:w="108" w:type="dxa"/>
            <w:bottom w:w="0" w:type="dxa"/>
            <w:right w:w="108" w:type="dxa"/>
          </w:tblCellMar>
        </w:tblPrEx>
        <w:trPr>
          <w:trHeight w:val="2259"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0DA37BF0">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44A2FA4C">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4AB42C15">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2ED399AC">
            <w:pPr>
              <w:widowControl/>
              <w:spacing w:line="280" w:lineRule="exact"/>
              <w:jc w:val="left"/>
              <w:rPr>
                <w:rFonts w:eastAsia="仿宋" w:cs="Times New Roman"/>
                <w:kern w:val="0"/>
                <w:sz w:val="24"/>
                <w:szCs w:val="24"/>
              </w:rPr>
            </w:pPr>
            <w:r>
              <w:rPr>
                <w:rFonts w:eastAsia="仿宋" w:cs="Times New Roman"/>
                <w:kern w:val="0"/>
                <w:sz w:val="24"/>
                <w:szCs w:val="24"/>
              </w:rPr>
              <w:t>预决算信息公开性</w:t>
            </w:r>
          </w:p>
        </w:tc>
        <w:tc>
          <w:tcPr>
            <w:tcW w:w="516" w:type="dxa"/>
            <w:tcBorders>
              <w:top w:val="single" w:color="auto" w:sz="4" w:space="0"/>
              <w:left w:val="nil"/>
              <w:bottom w:val="single" w:color="auto" w:sz="4" w:space="0"/>
              <w:right w:val="single" w:color="auto" w:sz="4" w:space="0"/>
            </w:tcBorders>
            <w:noWrap w:val="0"/>
            <w:vAlign w:val="center"/>
          </w:tcPr>
          <w:p w14:paraId="48053023">
            <w:pPr>
              <w:widowControl/>
              <w:spacing w:line="280" w:lineRule="exact"/>
              <w:jc w:val="center"/>
              <w:rPr>
                <w:rFonts w:eastAsia="仿宋" w:cs="Times New Roman"/>
                <w:kern w:val="0"/>
                <w:sz w:val="24"/>
                <w:szCs w:val="24"/>
              </w:rPr>
            </w:pPr>
            <w:r>
              <w:rPr>
                <w:rFonts w:eastAsia="仿宋" w:cs="Times New Roman"/>
                <w:kern w:val="0"/>
                <w:sz w:val="24"/>
                <w:szCs w:val="24"/>
              </w:rPr>
              <w:t>1</w:t>
            </w:r>
          </w:p>
        </w:tc>
        <w:tc>
          <w:tcPr>
            <w:tcW w:w="3752" w:type="dxa"/>
            <w:tcBorders>
              <w:top w:val="single" w:color="auto" w:sz="4" w:space="0"/>
              <w:left w:val="nil"/>
              <w:bottom w:val="single" w:color="auto" w:sz="4" w:space="0"/>
              <w:right w:val="single" w:color="auto" w:sz="4" w:space="0"/>
            </w:tcBorders>
            <w:noWrap w:val="0"/>
            <w:vAlign w:val="center"/>
          </w:tcPr>
          <w:p w14:paraId="1E20CB74">
            <w:pPr>
              <w:widowControl/>
              <w:spacing w:line="280" w:lineRule="exact"/>
              <w:jc w:val="left"/>
              <w:rPr>
                <w:rFonts w:eastAsia="仿宋" w:cs="Times New Roman"/>
                <w:kern w:val="0"/>
                <w:sz w:val="24"/>
                <w:szCs w:val="24"/>
              </w:rPr>
            </w:pPr>
            <w:r>
              <w:rPr>
                <w:rFonts w:eastAsia="仿宋" w:cs="Times New Roman"/>
                <w:kern w:val="0"/>
                <w:sz w:val="24"/>
                <w:szCs w:val="24"/>
              </w:rPr>
              <w:t xml:space="preserve">  部门是否按照政府信息公开有关规定公开相关预决算信息，用以反映和考核部门预决算管理的公开透明情况。</w:t>
            </w:r>
            <w:r>
              <w:rPr>
                <w:rFonts w:eastAsia="仿宋" w:cs="Times New Roman"/>
                <w:kern w:val="0"/>
                <w:sz w:val="24"/>
                <w:szCs w:val="24"/>
              </w:rPr>
              <w:br w:type="textWrapping"/>
            </w:r>
            <w:r>
              <w:rPr>
                <w:rFonts w:eastAsia="仿宋" w:cs="Times New Roman"/>
                <w:kern w:val="0"/>
                <w:sz w:val="24"/>
                <w:szCs w:val="24"/>
              </w:rPr>
              <w:t xml:space="preserve">  预决算信息是指与部门预算、执行、决算、监督、绩效等管理相关的信息。</w:t>
            </w:r>
          </w:p>
        </w:tc>
        <w:tc>
          <w:tcPr>
            <w:tcW w:w="3036" w:type="dxa"/>
            <w:tcBorders>
              <w:top w:val="single" w:color="auto" w:sz="4" w:space="0"/>
              <w:left w:val="nil"/>
              <w:bottom w:val="single" w:color="auto" w:sz="4" w:space="0"/>
              <w:right w:val="single" w:color="auto" w:sz="4" w:space="0"/>
            </w:tcBorders>
            <w:noWrap w:val="0"/>
            <w:vAlign w:val="center"/>
          </w:tcPr>
          <w:p w14:paraId="5C7E4A13">
            <w:pPr>
              <w:widowControl/>
              <w:spacing w:line="280" w:lineRule="exact"/>
              <w:jc w:val="left"/>
              <w:rPr>
                <w:rFonts w:eastAsia="仿宋" w:cs="Times New Roman"/>
                <w:kern w:val="0"/>
                <w:sz w:val="24"/>
                <w:szCs w:val="24"/>
              </w:rPr>
            </w:pPr>
            <w:r>
              <w:rPr>
                <w:rFonts w:eastAsia="仿宋" w:cs="Times New Roman"/>
                <w:kern w:val="0"/>
                <w:sz w:val="24"/>
                <w:szCs w:val="24"/>
              </w:rPr>
              <w:t>基础数据信息和会计信息资料是否真实、完整、准确。</w:t>
            </w:r>
            <w:r>
              <w:rPr>
                <w:rFonts w:eastAsia="仿宋" w:cs="Times New Roman"/>
                <w:kern w:val="0"/>
                <w:sz w:val="24"/>
                <w:szCs w:val="24"/>
              </w:rPr>
              <w:br w:type="textWrapping"/>
            </w:r>
            <w:r>
              <w:rPr>
                <w:rFonts w:eastAsia="仿宋" w:cs="Times New Roman"/>
                <w:kern w:val="0"/>
                <w:sz w:val="24"/>
                <w:szCs w:val="24"/>
              </w:rPr>
              <w:t>每发现一类不合规问题，扣0.5分，扣完为止。</w:t>
            </w:r>
          </w:p>
        </w:tc>
        <w:tc>
          <w:tcPr>
            <w:tcW w:w="726" w:type="dxa"/>
            <w:tcBorders>
              <w:top w:val="single" w:color="auto" w:sz="4" w:space="0"/>
              <w:left w:val="nil"/>
              <w:bottom w:val="single" w:color="auto" w:sz="4" w:space="0"/>
              <w:right w:val="single" w:color="auto" w:sz="4" w:space="0"/>
            </w:tcBorders>
            <w:noWrap/>
            <w:vAlign w:val="center"/>
          </w:tcPr>
          <w:p w14:paraId="3EC18878">
            <w:pPr>
              <w:widowControl/>
              <w:jc w:val="left"/>
              <w:rPr>
                <w:rFonts w:eastAsia="仿宋" w:cs="Times New Roman"/>
                <w:kern w:val="0"/>
                <w:sz w:val="24"/>
                <w:szCs w:val="24"/>
              </w:rPr>
            </w:pPr>
            <w:r>
              <w:rPr>
                <w:rFonts w:eastAsia="仿宋" w:cs="Times New Roman"/>
                <w:kern w:val="0"/>
                <w:sz w:val="24"/>
                <w:szCs w:val="24"/>
              </w:rPr>
              <w:t>　1</w:t>
            </w:r>
          </w:p>
        </w:tc>
      </w:tr>
      <w:tr w14:paraId="0181B3C7">
        <w:tblPrEx>
          <w:tblCellMar>
            <w:top w:w="0" w:type="dxa"/>
            <w:left w:w="108" w:type="dxa"/>
            <w:bottom w:w="0" w:type="dxa"/>
            <w:right w:w="108" w:type="dxa"/>
          </w:tblCellMar>
        </w:tblPrEx>
        <w:trPr>
          <w:trHeight w:val="2116"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73B7A4DF">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077F7694">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337E163F">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1DF84A49">
            <w:pPr>
              <w:widowControl/>
              <w:spacing w:line="280" w:lineRule="exact"/>
              <w:jc w:val="left"/>
              <w:rPr>
                <w:rFonts w:eastAsia="仿宋" w:cs="Times New Roman"/>
                <w:kern w:val="0"/>
                <w:sz w:val="24"/>
                <w:szCs w:val="24"/>
              </w:rPr>
            </w:pPr>
            <w:r>
              <w:rPr>
                <w:rFonts w:eastAsia="仿宋" w:cs="Times New Roman"/>
                <w:kern w:val="0"/>
                <w:sz w:val="24"/>
                <w:szCs w:val="24"/>
              </w:rPr>
              <w:t>基础信息完善性</w:t>
            </w:r>
          </w:p>
        </w:tc>
        <w:tc>
          <w:tcPr>
            <w:tcW w:w="516" w:type="dxa"/>
            <w:tcBorders>
              <w:top w:val="single" w:color="auto" w:sz="4" w:space="0"/>
              <w:left w:val="nil"/>
              <w:bottom w:val="single" w:color="auto" w:sz="4" w:space="0"/>
              <w:right w:val="single" w:color="auto" w:sz="4" w:space="0"/>
            </w:tcBorders>
            <w:noWrap w:val="0"/>
            <w:vAlign w:val="center"/>
          </w:tcPr>
          <w:p w14:paraId="2899CAB8">
            <w:pPr>
              <w:widowControl/>
              <w:spacing w:line="280" w:lineRule="exact"/>
              <w:jc w:val="center"/>
              <w:rPr>
                <w:rFonts w:eastAsia="仿宋" w:cs="Times New Roman"/>
                <w:kern w:val="0"/>
                <w:sz w:val="24"/>
                <w:szCs w:val="24"/>
              </w:rPr>
            </w:pPr>
            <w:r>
              <w:rPr>
                <w:rFonts w:eastAsia="仿宋" w:cs="Times New Roman"/>
                <w:kern w:val="0"/>
                <w:sz w:val="24"/>
                <w:szCs w:val="24"/>
              </w:rPr>
              <w:t>1</w:t>
            </w:r>
          </w:p>
        </w:tc>
        <w:tc>
          <w:tcPr>
            <w:tcW w:w="3752" w:type="dxa"/>
            <w:tcBorders>
              <w:top w:val="single" w:color="auto" w:sz="4" w:space="0"/>
              <w:left w:val="nil"/>
              <w:bottom w:val="single" w:color="auto" w:sz="4" w:space="0"/>
              <w:right w:val="nil"/>
            </w:tcBorders>
            <w:noWrap/>
            <w:vAlign w:val="center"/>
          </w:tcPr>
          <w:p w14:paraId="5FFC7FAF">
            <w:pPr>
              <w:widowControl/>
              <w:spacing w:line="280" w:lineRule="exact"/>
              <w:rPr>
                <w:rFonts w:eastAsia="仿宋" w:cs="Times New Roman"/>
                <w:kern w:val="0"/>
                <w:sz w:val="24"/>
                <w:szCs w:val="24"/>
              </w:rPr>
            </w:pPr>
            <w:r>
              <w:rPr>
                <w:rFonts w:eastAsia="仿宋" w:cs="Times New Roman"/>
                <w:kern w:val="0"/>
                <w:sz w:val="24"/>
                <w:szCs w:val="24"/>
              </w:rPr>
              <w:t xml:space="preserve">  部门基础信息是否完善，用以反映和考核基础信息对预算管理工作的支撑情况。</w:t>
            </w:r>
          </w:p>
        </w:tc>
        <w:tc>
          <w:tcPr>
            <w:tcW w:w="3036" w:type="dxa"/>
            <w:tcBorders>
              <w:top w:val="single" w:color="auto" w:sz="4" w:space="0"/>
              <w:left w:val="single" w:color="auto" w:sz="4" w:space="0"/>
              <w:bottom w:val="single" w:color="auto" w:sz="4" w:space="0"/>
              <w:right w:val="single" w:color="auto" w:sz="4" w:space="0"/>
            </w:tcBorders>
            <w:noWrap w:val="0"/>
            <w:vAlign w:val="center"/>
          </w:tcPr>
          <w:p w14:paraId="63E6D664">
            <w:pPr>
              <w:widowControl/>
              <w:spacing w:line="280" w:lineRule="exact"/>
              <w:jc w:val="left"/>
              <w:rPr>
                <w:rFonts w:eastAsia="仿宋" w:cs="Times New Roman"/>
                <w:kern w:val="0"/>
                <w:sz w:val="24"/>
                <w:szCs w:val="24"/>
              </w:rPr>
            </w:pPr>
            <w:r>
              <w:rPr>
                <w:rFonts w:eastAsia="仿宋" w:cs="Times New Roman"/>
                <w:kern w:val="0"/>
                <w:sz w:val="24"/>
                <w:szCs w:val="24"/>
              </w:rPr>
              <w:t>基础数据信息和会计信息资料真实、完整、准确，得1分。</w:t>
            </w:r>
          </w:p>
        </w:tc>
        <w:tc>
          <w:tcPr>
            <w:tcW w:w="726" w:type="dxa"/>
            <w:tcBorders>
              <w:top w:val="single" w:color="auto" w:sz="4" w:space="0"/>
              <w:left w:val="nil"/>
              <w:bottom w:val="single" w:color="auto" w:sz="4" w:space="0"/>
              <w:right w:val="single" w:color="auto" w:sz="4" w:space="0"/>
            </w:tcBorders>
            <w:noWrap/>
            <w:vAlign w:val="center"/>
          </w:tcPr>
          <w:p w14:paraId="7FC8D273">
            <w:pPr>
              <w:widowControl/>
              <w:jc w:val="left"/>
              <w:rPr>
                <w:rFonts w:eastAsia="仿宋" w:cs="Times New Roman"/>
                <w:kern w:val="0"/>
                <w:sz w:val="24"/>
                <w:szCs w:val="24"/>
              </w:rPr>
            </w:pPr>
            <w:r>
              <w:rPr>
                <w:rFonts w:eastAsia="仿宋" w:cs="Times New Roman"/>
                <w:kern w:val="0"/>
                <w:sz w:val="24"/>
                <w:szCs w:val="24"/>
              </w:rPr>
              <w:t>　1</w:t>
            </w:r>
          </w:p>
        </w:tc>
      </w:tr>
      <w:tr w14:paraId="68CA150E">
        <w:tblPrEx>
          <w:tblCellMar>
            <w:top w:w="0" w:type="dxa"/>
            <w:left w:w="108" w:type="dxa"/>
            <w:bottom w:w="0" w:type="dxa"/>
            <w:right w:w="108" w:type="dxa"/>
          </w:tblCellMar>
        </w:tblPrEx>
        <w:trPr>
          <w:trHeight w:val="2121"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41BEC522">
            <w:pPr>
              <w:widowControl/>
              <w:spacing w:line="280" w:lineRule="exact"/>
              <w:jc w:val="left"/>
              <w:rPr>
                <w:rFonts w:eastAsia="仿宋" w:cs="Times New Roman"/>
                <w:kern w:val="0"/>
                <w:sz w:val="24"/>
                <w:szCs w:val="24"/>
              </w:rPr>
            </w:pPr>
          </w:p>
        </w:tc>
        <w:tc>
          <w:tcPr>
            <w:tcW w:w="638" w:type="dxa"/>
            <w:vMerge w:val="restart"/>
            <w:tcBorders>
              <w:top w:val="single" w:color="auto" w:sz="4" w:space="0"/>
              <w:left w:val="single" w:color="auto" w:sz="4" w:space="0"/>
              <w:bottom w:val="single" w:color="auto" w:sz="4" w:space="0"/>
              <w:right w:val="single" w:color="auto" w:sz="4" w:space="0"/>
            </w:tcBorders>
            <w:noWrap w:val="0"/>
            <w:vAlign w:val="center"/>
          </w:tcPr>
          <w:p w14:paraId="62AAF922">
            <w:pPr>
              <w:widowControl/>
              <w:spacing w:line="280" w:lineRule="exact"/>
              <w:jc w:val="center"/>
              <w:rPr>
                <w:rFonts w:eastAsia="仿宋" w:cs="Times New Roman"/>
                <w:kern w:val="0"/>
                <w:sz w:val="24"/>
                <w:szCs w:val="24"/>
              </w:rPr>
            </w:pPr>
            <w:r>
              <w:rPr>
                <w:rFonts w:eastAsia="仿宋" w:cs="Times New Roman"/>
                <w:kern w:val="0"/>
                <w:sz w:val="24"/>
                <w:szCs w:val="24"/>
              </w:rPr>
              <w:t>资产</w:t>
            </w:r>
            <w:r>
              <w:rPr>
                <w:rFonts w:eastAsia="仿宋" w:cs="Times New Roman"/>
                <w:kern w:val="0"/>
                <w:sz w:val="24"/>
                <w:szCs w:val="24"/>
              </w:rPr>
              <w:br w:type="textWrapping"/>
            </w:r>
            <w:r>
              <w:rPr>
                <w:rFonts w:eastAsia="仿宋" w:cs="Times New Roman"/>
                <w:kern w:val="0"/>
                <w:sz w:val="24"/>
                <w:szCs w:val="24"/>
              </w:rPr>
              <w:t>管理</w:t>
            </w:r>
          </w:p>
        </w:tc>
        <w:tc>
          <w:tcPr>
            <w:tcW w:w="548" w:type="dxa"/>
            <w:vMerge w:val="restart"/>
            <w:tcBorders>
              <w:top w:val="single" w:color="auto" w:sz="4" w:space="0"/>
              <w:left w:val="single" w:color="auto" w:sz="4" w:space="0"/>
              <w:bottom w:val="single" w:color="auto" w:sz="4" w:space="0"/>
              <w:right w:val="single" w:color="auto" w:sz="4" w:space="0"/>
            </w:tcBorders>
            <w:noWrap w:val="0"/>
            <w:vAlign w:val="center"/>
          </w:tcPr>
          <w:p w14:paraId="11CECD26">
            <w:pPr>
              <w:widowControl/>
              <w:spacing w:line="280" w:lineRule="exact"/>
              <w:jc w:val="center"/>
              <w:rPr>
                <w:rFonts w:eastAsia="仿宋" w:cs="Times New Roman"/>
                <w:kern w:val="0"/>
                <w:sz w:val="24"/>
                <w:szCs w:val="24"/>
              </w:rPr>
            </w:pPr>
            <w:r>
              <w:rPr>
                <w:rFonts w:eastAsia="仿宋" w:cs="Times New Roman"/>
                <w:kern w:val="0"/>
                <w:sz w:val="24"/>
                <w:szCs w:val="24"/>
              </w:rPr>
              <w:t>3</w:t>
            </w:r>
          </w:p>
        </w:tc>
        <w:tc>
          <w:tcPr>
            <w:tcW w:w="676" w:type="dxa"/>
            <w:tcBorders>
              <w:top w:val="single" w:color="auto" w:sz="4" w:space="0"/>
              <w:left w:val="nil"/>
              <w:bottom w:val="single" w:color="auto" w:sz="4" w:space="0"/>
              <w:right w:val="single" w:color="auto" w:sz="4" w:space="0"/>
            </w:tcBorders>
            <w:noWrap w:val="0"/>
            <w:vAlign w:val="center"/>
          </w:tcPr>
          <w:p w14:paraId="55C9941B">
            <w:pPr>
              <w:widowControl/>
              <w:spacing w:line="280" w:lineRule="exact"/>
              <w:jc w:val="left"/>
              <w:rPr>
                <w:rFonts w:eastAsia="仿宋" w:cs="Times New Roman"/>
                <w:kern w:val="0"/>
                <w:sz w:val="24"/>
                <w:szCs w:val="24"/>
              </w:rPr>
            </w:pPr>
            <w:r>
              <w:rPr>
                <w:rFonts w:eastAsia="仿宋" w:cs="Times New Roman"/>
                <w:kern w:val="0"/>
                <w:sz w:val="24"/>
                <w:szCs w:val="24"/>
              </w:rPr>
              <w:t>管理制度健全性</w:t>
            </w:r>
          </w:p>
        </w:tc>
        <w:tc>
          <w:tcPr>
            <w:tcW w:w="516" w:type="dxa"/>
            <w:tcBorders>
              <w:top w:val="single" w:color="auto" w:sz="4" w:space="0"/>
              <w:left w:val="nil"/>
              <w:bottom w:val="single" w:color="auto" w:sz="4" w:space="0"/>
              <w:right w:val="single" w:color="auto" w:sz="4" w:space="0"/>
            </w:tcBorders>
            <w:noWrap w:val="0"/>
            <w:vAlign w:val="center"/>
          </w:tcPr>
          <w:p w14:paraId="12D69D27">
            <w:pPr>
              <w:widowControl/>
              <w:spacing w:line="280" w:lineRule="exact"/>
              <w:jc w:val="center"/>
              <w:rPr>
                <w:rFonts w:eastAsia="仿宋" w:cs="Times New Roman"/>
                <w:kern w:val="0"/>
                <w:sz w:val="24"/>
                <w:szCs w:val="24"/>
              </w:rPr>
            </w:pPr>
            <w:r>
              <w:rPr>
                <w:rFonts w:eastAsia="仿宋" w:cs="Times New Roman"/>
                <w:kern w:val="0"/>
                <w:sz w:val="24"/>
                <w:szCs w:val="24"/>
              </w:rPr>
              <w:t>1</w:t>
            </w:r>
          </w:p>
        </w:tc>
        <w:tc>
          <w:tcPr>
            <w:tcW w:w="3752" w:type="dxa"/>
            <w:tcBorders>
              <w:top w:val="single" w:color="auto" w:sz="4" w:space="0"/>
              <w:left w:val="nil"/>
              <w:bottom w:val="single" w:color="auto" w:sz="4" w:space="0"/>
              <w:right w:val="single" w:color="auto" w:sz="4" w:space="0"/>
            </w:tcBorders>
            <w:noWrap w:val="0"/>
            <w:vAlign w:val="center"/>
          </w:tcPr>
          <w:p w14:paraId="08EDEF21">
            <w:pPr>
              <w:widowControl/>
              <w:spacing w:line="280" w:lineRule="exact"/>
              <w:jc w:val="left"/>
              <w:rPr>
                <w:rFonts w:eastAsia="仿宋" w:cs="Times New Roman"/>
                <w:kern w:val="0"/>
                <w:sz w:val="24"/>
                <w:szCs w:val="24"/>
              </w:rPr>
            </w:pPr>
            <w:r>
              <w:rPr>
                <w:rFonts w:eastAsia="仿宋" w:cs="Times New Roman"/>
                <w:kern w:val="0"/>
                <w:sz w:val="24"/>
                <w:szCs w:val="24"/>
              </w:rPr>
              <w:t xml:space="preserve">  部门为加强资产管理、规范资产管理行为而制定的管理制度是否健全完整，用以反映和考核部门资产管理制度对完成主要职责或促进社会发展的保障情况。</w:t>
            </w:r>
          </w:p>
        </w:tc>
        <w:tc>
          <w:tcPr>
            <w:tcW w:w="3036" w:type="dxa"/>
            <w:tcBorders>
              <w:top w:val="single" w:color="auto" w:sz="4" w:space="0"/>
              <w:left w:val="nil"/>
              <w:bottom w:val="single" w:color="auto" w:sz="4" w:space="0"/>
              <w:right w:val="single" w:color="auto" w:sz="4" w:space="0"/>
            </w:tcBorders>
            <w:noWrap w:val="0"/>
            <w:vAlign w:val="center"/>
          </w:tcPr>
          <w:p w14:paraId="33CFC4E7">
            <w:pPr>
              <w:widowControl/>
              <w:spacing w:line="280" w:lineRule="exact"/>
              <w:jc w:val="left"/>
              <w:rPr>
                <w:rFonts w:eastAsia="仿宋" w:cs="Times New Roman"/>
                <w:kern w:val="0"/>
                <w:sz w:val="24"/>
                <w:szCs w:val="24"/>
              </w:rPr>
            </w:pPr>
            <w:r>
              <w:rPr>
                <w:rFonts w:hint="eastAsia" w:ascii="宋体" w:hAnsi="宋体" w:cs="宋体"/>
                <w:kern w:val="0"/>
                <w:sz w:val="24"/>
                <w:szCs w:val="24"/>
              </w:rPr>
              <w:t>①</w:t>
            </w:r>
            <w:r>
              <w:rPr>
                <w:rFonts w:eastAsia="仿宋" w:cs="Times New Roman"/>
                <w:kern w:val="0"/>
                <w:sz w:val="24"/>
                <w:szCs w:val="24"/>
              </w:rPr>
              <w:t xml:space="preserve">已制定或具有资产管理制度，相关资金管理制度合法、合规、完整。得0.5分；           </w:t>
            </w:r>
            <w:r>
              <w:rPr>
                <w:rFonts w:eastAsia="仿宋" w:cs="Times New Roman"/>
                <w:kern w:val="0"/>
                <w:sz w:val="24"/>
                <w:szCs w:val="24"/>
              </w:rPr>
              <w:br w:type="textWrapping"/>
            </w:r>
            <w:r>
              <w:rPr>
                <w:rFonts w:hint="eastAsia" w:ascii="宋体" w:hAnsi="宋体" w:cs="宋体"/>
                <w:kern w:val="0"/>
                <w:sz w:val="24"/>
                <w:szCs w:val="24"/>
              </w:rPr>
              <w:t>②</w:t>
            </w:r>
            <w:r>
              <w:rPr>
                <w:rFonts w:eastAsia="仿宋" w:cs="Times New Roman"/>
                <w:kern w:val="0"/>
                <w:sz w:val="24"/>
                <w:szCs w:val="24"/>
              </w:rPr>
              <w:t>相关资产管理制度得到有效执行，得0.5分。</w:t>
            </w:r>
          </w:p>
        </w:tc>
        <w:tc>
          <w:tcPr>
            <w:tcW w:w="726" w:type="dxa"/>
            <w:tcBorders>
              <w:top w:val="single" w:color="auto" w:sz="4" w:space="0"/>
              <w:left w:val="nil"/>
              <w:bottom w:val="single" w:color="auto" w:sz="4" w:space="0"/>
              <w:right w:val="single" w:color="auto" w:sz="4" w:space="0"/>
            </w:tcBorders>
            <w:noWrap/>
            <w:vAlign w:val="center"/>
          </w:tcPr>
          <w:p w14:paraId="68F82B5A">
            <w:pPr>
              <w:widowControl/>
              <w:jc w:val="left"/>
              <w:rPr>
                <w:rFonts w:eastAsia="仿宋" w:cs="Times New Roman"/>
                <w:kern w:val="0"/>
                <w:sz w:val="24"/>
                <w:szCs w:val="24"/>
              </w:rPr>
            </w:pPr>
            <w:r>
              <w:rPr>
                <w:rFonts w:eastAsia="仿宋" w:cs="Times New Roman"/>
                <w:kern w:val="0"/>
                <w:sz w:val="24"/>
                <w:szCs w:val="24"/>
              </w:rPr>
              <w:t>　1</w:t>
            </w:r>
          </w:p>
        </w:tc>
      </w:tr>
      <w:tr w14:paraId="4244E32F">
        <w:tblPrEx>
          <w:tblCellMar>
            <w:top w:w="0" w:type="dxa"/>
            <w:left w:w="108" w:type="dxa"/>
            <w:bottom w:w="0" w:type="dxa"/>
            <w:right w:w="108" w:type="dxa"/>
          </w:tblCellMar>
        </w:tblPrEx>
        <w:trPr>
          <w:trHeight w:val="2135"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34D00357">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17F6BF60">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04DB5A62">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3BD18B42">
            <w:pPr>
              <w:widowControl/>
              <w:spacing w:line="280" w:lineRule="exact"/>
              <w:jc w:val="left"/>
              <w:rPr>
                <w:rFonts w:eastAsia="仿宋" w:cs="Times New Roman"/>
                <w:kern w:val="0"/>
                <w:sz w:val="24"/>
                <w:szCs w:val="24"/>
              </w:rPr>
            </w:pPr>
            <w:r>
              <w:rPr>
                <w:rFonts w:eastAsia="仿宋" w:cs="Times New Roman"/>
                <w:kern w:val="0"/>
                <w:sz w:val="24"/>
                <w:szCs w:val="24"/>
              </w:rPr>
              <w:t>资产管理安全性</w:t>
            </w:r>
          </w:p>
        </w:tc>
        <w:tc>
          <w:tcPr>
            <w:tcW w:w="516" w:type="dxa"/>
            <w:tcBorders>
              <w:top w:val="single" w:color="auto" w:sz="4" w:space="0"/>
              <w:left w:val="nil"/>
              <w:bottom w:val="single" w:color="auto" w:sz="4" w:space="0"/>
              <w:right w:val="single" w:color="auto" w:sz="4" w:space="0"/>
            </w:tcBorders>
            <w:noWrap w:val="0"/>
            <w:vAlign w:val="center"/>
          </w:tcPr>
          <w:p w14:paraId="15B2646E">
            <w:pPr>
              <w:widowControl/>
              <w:spacing w:line="280" w:lineRule="exact"/>
              <w:jc w:val="center"/>
              <w:rPr>
                <w:rFonts w:eastAsia="仿宋" w:cs="Times New Roman"/>
                <w:kern w:val="0"/>
                <w:sz w:val="24"/>
                <w:szCs w:val="24"/>
              </w:rPr>
            </w:pPr>
            <w:r>
              <w:rPr>
                <w:rFonts w:eastAsia="仿宋" w:cs="Times New Roman"/>
                <w:kern w:val="0"/>
                <w:sz w:val="24"/>
                <w:szCs w:val="24"/>
              </w:rPr>
              <w:t>1</w:t>
            </w:r>
          </w:p>
        </w:tc>
        <w:tc>
          <w:tcPr>
            <w:tcW w:w="3752" w:type="dxa"/>
            <w:tcBorders>
              <w:top w:val="single" w:color="auto" w:sz="4" w:space="0"/>
              <w:left w:val="nil"/>
              <w:bottom w:val="single" w:color="auto" w:sz="4" w:space="0"/>
              <w:right w:val="single" w:color="auto" w:sz="4" w:space="0"/>
            </w:tcBorders>
            <w:noWrap w:val="0"/>
            <w:vAlign w:val="center"/>
          </w:tcPr>
          <w:p w14:paraId="34D9E214">
            <w:pPr>
              <w:widowControl/>
              <w:spacing w:line="280" w:lineRule="exact"/>
              <w:jc w:val="left"/>
              <w:rPr>
                <w:rFonts w:eastAsia="仿宋" w:cs="Times New Roman"/>
                <w:kern w:val="0"/>
                <w:sz w:val="24"/>
                <w:szCs w:val="24"/>
              </w:rPr>
            </w:pPr>
            <w:r>
              <w:rPr>
                <w:rFonts w:eastAsia="仿宋" w:cs="Times New Roman"/>
                <w:kern w:val="0"/>
                <w:sz w:val="24"/>
                <w:szCs w:val="24"/>
              </w:rPr>
              <w:t xml:space="preserve">  部门的资产是否保存完整、使用合规、配置合理、处置规范、收入及时足额上缴，用以反映和考核部门资产安全运行情况。</w:t>
            </w:r>
          </w:p>
        </w:tc>
        <w:tc>
          <w:tcPr>
            <w:tcW w:w="3036" w:type="dxa"/>
            <w:tcBorders>
              <w:top w:val="single" w:color="auto" w:sz="4" w:space="0"/>
              <w:left w:val="nil"/>
              <w:bottom w:val="single" w:color="auto" w:sz="4" w:space="0"/>
              <w:right w:val="single" w:color="auto" w:sz="4" w:space="0"/>
            </w:tcBorders>
            <w:noWrap w:val="0"/>
            <w:vAlign w:val="center"/>
          </w:tcPr>
          <w:p w14:paraId="4285B697">
            <w:pPr>
              <w:widowControl/>
              <w:spacing w:line="280" w:lineRule="exact"/>
              <w:jc w:val="left"/>
              <w:rPr>
                <w:rFonts w:eastAsia="仿宋" w:cs="Times New Roman"/>
                <w:kern w:val="0"/>
                <w:sz w:val="24"/>
                <w:szCs w:val="24"/>
              </w:rPr>
            </w:pPr>
            <w:r>
              <w:rPr>
                <w:rFonts w:hint="eastAsia" w:ascii="宋体" w:hAnsi="宋体" w:cs="宋体"/>
                <w:kern w:val="0"/>
                <w:sz w:val="24"/>
                <w:szCs w:val="24"/>
              </w:rPr>
              <w:t>①</w:t>
            </w:r>
            <w:r>
              <w:rPr>
                <w:rFonts w:eastAsia="仿宋" w:cs="Times New Roman"/>
                <w:kern w:val="0"/>
                <w:sz w:val="24"/>
                <w:szCs w:val="24"/>
              </w:rPr>
              <w:t>资产保存完整、配置合理、处置规范，得0.5分；</w:t>
            </w:r>
            <w:r>
              <w:rPr>
                <w:rFonts w:eastAsia="仿宋" w:cs="Times New Roman"/>
                <w:kern w:val="0"/>
                <w:sz w:val="24"/>
                <w:szCs w:val="24"/>
              </w:rPr>
              <w:br w:type="textWrapping"/>
            </w:r>
            <w:r>
              <w:rPr>
                <w:rFonts w:hint="eastAsia" w:ascii="宋体" w:hAnsi="宋体" w:cs="宋体"/>
                <w:kern w:val="0"/>
                <w:sz w:val="24"/>
                <w:szCs w:val="24"/>
              </w:rPr>
              <w:t>②</w:t>
            </w:r>
            <w:r>
              <w:rPr>
                <w:rFonts w:eastAsia="仿宋" w:cs="Times New Roman"/>
                <w:kern w:val="0"/>
                <w:sz w:val="24"/>
                <w:szCs w:val="24"/>
              </w:rPr>
              <w:t>资产账务管理合规，帐实相符，资产有偿使用及处置收入及时足额上缴，得0.5分。</w:t>
            </w:r>
          </w:p>
        </w:tc>
        <w:tc>
          <w:tcPr>
            <w:tcW w:w="726" w:type="dxa"/>
            <w:tcBorders>
              <w:top w:val="single" w:color="auto" w:sz="4" w:space="0"/>
              <w:left w:val="nil"/>
              <w:bottom w:val="single" w:color="auto" w:sz="4" w:space="0"/>
              <w:right w:val="single" w:color="auto" w:sz="4" w:space="0"/>
            </w:tcBorders>
            <w:noWrap/>
            <w:vAlign w:val="center"/>
          </w:tcPr>
          <w:p w14:paraId="1ED20A50">
            <w:pPr>
              <w:widowControl/>
              <w:jc w:val="left"/>
              <w:rPr>
                <w:rFonts w:eastAsia="仿宋" w:cs="Times New Roman"/>
                <w:kern w:val="0"/>
                <w:sz w:val="24"/>
                <w:szCs w:val="24"/>
              </w:rPr>
            </w:pPr>
            <w:r>
              <w:rPr>
                <w:rFonts w:eastAsia="仿宋" w:cs="Times New Roman"/>
                <w:kern w:val="0"/>
                <w:sz w:val="24"/>
                <w:szCs w:val="24"/>
              </w:rPr>
              <w:t>　1</w:t>
            </w:r>
          </w:p>
        </w:tc>
      </w:tr>
      <w:tr w14:paraId="367C1C1C">
        <w:tblPrEx>
          <w:tblCellMar>
            <w:top w:w="0" w:type="dxa"/>
            <w:left w:w="108" w:type="dxa"/>
            <w:bottom w:w="0" w:type="dxa"/>
            <w:right w:w="108" w:type="dxa"/>
          </w:tblCellMar>
        </w:tblPrEx>
        <w:trPr>
          <w:trHeight w:val="2312"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1C127228">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2D00F577">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7D736638">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3C56CDF8">
            <w:pPr>
              <w:widowControl/>
              <w:spacing w:line="280" w:lineRule="exact"/>
              <w:jc w:val="left"/>
              <w:rPr>
                <w:rFonts w:eastAsia="仿宋" w:cs="Times New Roman"/>
                <w:kern w:val="0"/>
                <w:sz w:val="24"/>
                <w:szCs w:val="24"/>
              </w:rPr>
            </w:pPr>
            <w:r>
              <w:rPr>
                <w:rFonts w:eastAsia="仿宋" w:cs="Times New Roman"/>
                <w:kern w:val="0"/>
                <w:sz w:val="24"/>
                <w:szCs w:val="24"/>
              </w:rPr>
              <w:t>固定资产利用率</w:t>
            </w:r>
          </w:p>
        </w:tc>
        <w:tc>
          <w:tcPr>
            <w:tcW w:w="516" w:type="dxa"/>
            <w:tcBorders>
              <w:top w:val="single" w:color="auto" w:sz="4" w:space="0"/>
              <w:left w:val="nil"/>
              <w:bottom w:val="single" w:color="auto" w:sz="4" w:space="0"/>
              <w:right w:val="single" w:color="auto" w:sz="4" w:space="0"/>
            </w:tcBorders>
            <w:noWrap w:val="0"/>
            <w:vAlign w:val="center"/>
          </w:tcPr>
          <w:p w14:paraId="44E01696">
            <w:pPr>
              <w:widowControl/>
              <w:spacing w:line="280" w:lineRule="exact"/>
              <w:jc w:val="center"/>
              <w:rPr>
                <w:rFonts w:eastAsia="仿宋" w:cs="Times New Roman"/>
                <w:kern w:val="0"/>
                <w:sz w:val="24"/>
                <w:szCs w:val="24"/>
              </w:rPr>
            </w:pPr>
            <w:r>
              <w:rPr>
                <w:rFonts w:eastAsia="仿宋" w:cs="Times New Roman"/>
                <w:kern w:val="0"/>
                <w:sz w:val="24"/>
                <w:szCs w:val="24"/>
              </w:rPr>
              <w:t>1</w:t>
            </w:r>
          </w:p>
        </w:tc>
        <w:tc>
          <w:tcPr>
            <w:tcW w:w="3752" w:type="dxa"/>
            <w:tcBorders>
              <w:top w:val="single" w:color="auto" w:sz="4" w:space="0"/>
              <w:left w:val="nil"/>
              <w:bottom w:val="single" w:color="auto" w:sz="4" w:space="0"/>
              <w:right w:val="single" w:color="auto" w:sz="4" w:space="0"/>
            </w:tcBorders>
            <w:noWrap w:val="0"/>
            <w:vAlign w:val="center"/>
          </w:tcPr>
          <w:p w14:paraId="260E5CCC">
            <w:pPr>
              <w:widowControl/>
              <w:spacing w:line="280" w:lineRule="exact"/>
              <w:jc w:val="left"/>
              <w:rPr>
                <w:rFonts w:eastAsia="仿宋" w:cs="Times New Roman"/>
                <w:kern w:val="0"/>
                <w:sz w:val="24"/>
                <w:szCs w:val="24"/>
              </w:rPr>
            </w:pPr>
            <w:r>
              <w:rPr>
                <w:rFonts w:eastAsia="仿宋" w:cs="Times New Roman"/>
                <w:kern w:val="0"/>
                <w:sz w:val="24"/>
                <w:szCs w:val="24"/>
              </w:rPr>
              <w:t xml:space="preserve">  实际在用固定资产总额与所有固定资产总额的比率，用以反映和考核部门固定资产使用效率程度。</w:t>
            </w:r>
            <w:r>
              <w:rPr>
                <w:rFonts w:eastAsia="仿宋" w:cs="Times New Roman"/>
                <w:kern w:val="0"/>
                <w:sz w:val="24"/>
                <w:szCs w:val="24"/>
              </w:rPr>
              <w:br w:type="textWrapping"/>
            </w:r>
            <w:r>
              <w:rPr>
                <w:rFonts w:eastAsia="仿宋" w:cs="Times New Roman"/>
                <w:kern w:val="0"/>
                <w:sz w:val="24"/>
                <w:szCs w:val="24"/>
              </w:rPr>
              <w:t xml:space="preserve">  固定资产利用率=（实际在用固定资产总额/所有固定资产总额）×100%。</w:t>
            </w:r>
          </w:p>
        </w:tc>
        <w:tc>
          <w:tcPr>
            <w:tcW w:w="3036" w:type="dxa"/>
            <w:tcBorders>
              <w:top w:val="single" w:color="auto" w:sz="4" w:space="0"/>
              <w:left w:val="nil"/>
              <w:bottom w:val="single" w:color="auto" w:sz="4" w:space="0"/>
              <w:right w:val="single" w:color="auto" w:sz="4" w:space="0"/>
            </w:tcBorders>
            <w:noWrap w:val="0"/>
            <w:vAlign w:val="center"/>
          </w:tcPr>
          <w:p w14:paraId="4352E325">
            <w:pPr>
              <w:widowControl/>
              <w:spacing w:line="280" w:lineRule="exact"/>
              <w:jc w:val="left"/>
              <w:rPr>
                <w:rFonts w:eastAsia="仿宋" w:cs="Times New Roman"/>
                <w:kern w:val="0"/>
                <w:sz w:val="24"/>
                <w:szCs w:val="24"/>
              </w:rPr>
            </w:pPr>
            <w:r>
              <w:rPr>
                <w:rFonts w:eastAsia="仿宋" w:cs="Times New Roman"/>
                <w:kern w:val="0"/>
                <w:sz w:val="24"/>
                <w:szCs w:val="24"/>
              </w:rPr>
              <w:t>固定资产利用率=100%，得1分；</w:t>
            </w:r>
            <w:r>
              <w:rPr>
                <w:rFonts w:eastAsia="仿宋" w:cs="Times New Roman"/>
                <w:kern w:val="0"/>
                <w:sz w:val="24"/>
                <w:szCs w:val="24"/>
              </w:rPr>
              <w:br w:type="textWrapping"/>
            </w:r>
            <w:r>
              <w:rPr>
                <w:rFonts w:eastAsia="仿宋" w:cs="Times New Roman"/>
                <w:kern w:val="0"/>
                <w:sz w:val="24"/>
                <w:szCs w:val="24"/>
              </w:rPr>
              <w:t>每低一个百分点，扣0.1分，扣完为止。</w:t>
            </w:r>
          </w:p>
        </w:tc>
        <w:tc>
          <w:tcPr>
            <w:tcW w:w="726" w:type="dxa"/>
            <w:tcBorders>
              <w:top w:val="single" w:color="auto" w:sz="4" w:space="0"/>
              <w:left w:val="nil"/>
              <w:bottom w:val="single" w:color="auto" w:sz="4" w:space="0"/>
              <w:right w:val="single" w:color="auto" w:sz="4" w:space="0"/>
            </w:tcBorders>
            <w:noWrap/>
            <w:vAlign w:val="center"/>
          </w:tcPr>
          <w:p w14:paraId="75DA4149">
            <w:pPr>
              <w:widowControl/>
              <w:jc w:val="left"/>
              <w:rPr>
                <w:rFonts w:eastAsia="仿宋" w:cs="Times New Roman"/>
                <w:kern w:val="0"/>
                <w:sz w:val="24"/>
                <w:szCs w:val="24"/>
              </w:rPr>
            </w:pPr>
            <w:r>
              <w:rPr>
                <w:rFonts w:eastAsia="仿宋" w:cs="Times New Roman"/>
                <w:kern w:val="0"/>
                <w:sz w:val="24"/>
                <w:szCs w:val="24"/>
              </w:rPr>
              <w:t>　1</w:t>
            </w:r>
          </w:p>
        </w:tc>
      </w:tr>
      <w:tr w14:paraId="0D3C28C3">
        <w:tblPrEx>
          <w:tblCellMar>
            <w:top w:w="0" w:type="dxa"/>
            <w:left w:w="108" w:type="dxa"/>
            <w:bottom w:w="0" w:type="dxa"/>
            <w:right w:w="108" w:type="dxa"/>
          </w:tblCellMar>
        </w:tblPrEx>
        <w:trPr>
          <w:trHeight w:val="3656" w:hRule="atLeast"/>
          <w:jc w:val="center"/>
        </w:trPr>
        <w:tc>
          <w:tcPr>
            <w:tcW w:w="731"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0B92E06D">
            <w:pPr>
              <w:widowControl/>
              <w:spacing w:line="280" w:lineRule="exact"/>
              <w:jc w:val="center"/>
              <w:rPr>
                <w:rFonts w:eastAsia="仿宋" w:cs="Times New Roman"/>
                <w:kern w:val="0"/>
                <w:sz w:val="24"/>
                <w:szCs w:val="24"/>
              </w:rPr>
            </w:pPr>
            <w:r>
              <w:rPr>
                <w:rFonts w:eastAsia="仿宋" w:cs="Times New Roman"/>
                <w:kern w:val="0"/>
                <w:sz w:val="24"/>
                <w:szCs w:val="24"/>
              </w:rPr>
              <w:t>产出</w:t>
            </w:r>
          </w:p>
        </w:tc>
        <w:tc>
          <w:tcPr>
            <w:tcW w:w="638" w:type="dxa"/>
            <w:vMerge w:val="restart"/>
            <w:tcBorders>
              <w:top w:val="single" w:color="auto" w:sz="4" w:space="0"/>
              <w:left w:val="single" w:color="auto" w:sz="4" w:space="0"/>
              <w:bottom w:val="single" w:color="auto" w:sz="4" w:space="0"/>
              <w:right w:val="single" w:color="auto" w:sz="4" w:space="0"/>
            </w:tcBorders>
            <w:noWrap w:val="0"/>
            <w:vAlign w:val="center"/>
          </w:tcPr>
          <w:p w14:paraId="39797554">
            <w:pPr>
              <w:widowControl/>
              <w:spacing w:line="280" w:lineRule="exact"/>
              <w:jc w:val="center"/>
              <w:rPr>
                <w:rFonts w:eastAsia="仿宋" w:cs="Times New Roman"/>
                <w:kern w:val="0"/>
                <w:sz w:val="24"/>
                <w:szCs w:val="24"/>
              </w:rPr>
            </w:pPr>
            <w:r>
              <w:rPr>
                <w:rFonts w:eastAsia="仿宋" w:cs="Times New Roman"/>
                <w:kern w:val="0"/>
                <w:sz w:val="24"/>
                <w:szCs w:val="24"/>
              </w:rPr>
              <w:t>职责</w:t>
            </w:r>
            <w:r>
              <w:rPr>
                <w:rFonts w:eastAsia="仿宋" w:cs="Times New Roman"/>
                <w:kern w:val="0"/>
                <w:sz w:val="24"/>
                <w:szCs w:val="24"/>
              </w:rPr>
              <w:br w:type="textWrapping"/>
            </w:r>
            <w:r>
              <w:rPr>
                <w:rFonts w:eastAsia="仿宋" w:cs="Times New Roman"/>
                <w:kern w:val="0"/>
                <w:sz w:val="24"/>
                <w:szCs w:val="24"/>
              </w:rPr>
              <w:t>履行</w:t>
            </w:r>
          </w:p>
        </w:tc>
        <w:tc>
          <w:tcPr>
            <w:tcW w:w="548" w:type="dxa"/>
            <w:vMerge w:val="restart"/>
            <w:tcBorders>
              <w:top w:val="single" w:color="auto" w:sz="4" w:space="0"/>
              <w:left w:val="single" w:color="auto" w:sz="4" w:space="0"/>
              <w:bottom w:val="single" w:color="auto" w:sz="4" w:space="0"/>
              <w:right w:val="single" w:color="auto" w:sz="4" w:space="0"/>
            </w:tcBorders>
            <w:noWrap w:val="0"/>
            <w:vAlign w:val="center"/>
          </w:tcPr>
          <w:p w14:paraId="5098F896">
            <w:pPr>
              <w:widowControl/>
              <w:spacing w:line="280" w:lineRule="exact"/>
              <w:jc w:val="center"/>
              <w:rPr>
                <w:rFonts w:eastAsia="仿宋" w:cs="Times New Roman"/>
                <w:kern w:val="0"/>
                <w:sz w:val="24"/>
                <w:szCs w:val="24"/>
              </w:rPr>
            </w:pPr>
            <w:r>
              <w:rPr>
                <w:rFonts w:eastAsia="仿宋" w:cs="Times New Roman"/>
                <w:kern w:val="0"/>
                <w:sz w:val="24"/>
                <w:szCs w:val="24"/>
              </w:rPr>
              <w:t>30</w:t>
            </w:r>
          </w:p>
        </w:tc>
        <w:tc>
          <w:tcPr>
            <w:tcW w:w="676" w:type="dxa"/>
            <w:tcBorders>
              <w:top w:val="single" w:color="auto" w:sz="4" w:space="0"/>
              <w:left w:val="nil"/>
              <w:bottom w:val="single" w:color="auto" w:sz="4" w:space="0"/>
              <w:right w:val="single" w:color="auto" w:sz="4" w:space="0"/>
            </w:tcBorders>
            <w:noWrap w:val="0"/>
            <w:vAlign w:val="center"/>
          </w:tcPr>
          <w:p w14:paraId="6FC77627">
            <w:pPr>
              <w:widowControl/>
              <w:spacing w:line="280" w:lineRule="exact"/>
              <w:jc w:val="left"/>
              <w:rPr>
                <w:rFonts w:eastAsia="仿宋" w:cs="Times New Roman"/>
                <w:kern w:val="0"/>
                <w:sz w:val="24"/>
                <w:szCs w:val="24"/>
              </w:rPr>
            </w:pPr>
            <w:r>
              <w:rPr>
                <w:rFonts w:eastAsia="仿宋" w:cs="Times New Roman"/>
                <w:kern w:val="0"/>
                <w:sz w:val="24"/>
                <w:szCs w:val="24"/>
              </w:rPr>
              <w:t>实际完成率</w:t>
            </w:r>
          </w:p>
        </w:tc>
        <w:tc>
          <w:tcPr>
            <w:tcW w:w="516" w:type="dxa"/>
            <w:vMerge w:val="restart"/>
            <w:tcBorders>
              <w:top w:val="single" w:color="auto" w:sz="4" w:space="0"/>
              <w:left w:val="single" w:color="auto" w:sz="4" w:space="0"/>
              <w:bottom w:val="single" w:color="auto" w:sz="4" w:space="0"/>
              <w:right w:val="single" w:color="auto" w:sz="4" w:space="0"/>
            </w:tcBorders>
            <w:noWrap w:val="0"/>
            <w:vAlign w:val="center"/>
          </w:tcPr>
          <w:p w14:paraId="2299E206">
            <w:pPr>
              <w:widowControl/>
              <w:spacing w:line="280" w:lineRule="exact"/>
              <w:jc w:val="center"/>
              <w:rPr>
                <w:rFonts w:eastAsia="仿宋" w:cs="Times New Roman"/>
                <w:kern w:val="0"/>
                <w:sz w:val="24"/>
                <w:szCs w:val="24"/>
              </w:rPr>
            </w:pPr>
            <w:r>
              <w:rPr>
                <w:rFonts w:eastAsia="仿宋" w:cs="Times New Roman"/>
                <w:kern w:val="0"/>
                <w:sz w:val="24"/>
                <w:szCs w:val="24"/>
              </w:rPr>
              <w:t>24</w:t>
            </w:r>
          </w:p>
        </w:tc>
        <w:tc>
          <w:tcPr>
            <w:tcW w:w="3752" w:type="dxa"/>
            <w:tcBorders>
              <w:top w:val="single" w:color="auto" w:sz="4" w:space="0"/>
              <w:left w:val="nil"/>
              <w:bottom w:val="single" w:color="auto" w:sz="4" w:space="0"/>
              <w:right w:val="single" w:color="auto" w:sz="4" w:space="0"/>
            </w:tcBorders>
            <w:noWrap w:val="0"/>
            <w:vAlign w:val="center"/>
          </w:tcPr>
          <w:p w14:paraId="304BBE0A">
            <w:pPr>
              <w:widowControl/>
              <w:spacing w:line="280" w:lineRule="exact"/>
              <w:jc w:val="left"/>
              <w:rPr>
                <w:rFonts w:eastAsia="仿宋" w:cs="Times New Roman"/>
                <w:kern w:val="0"/>
                <w:sz w:val="24"/>
                <w:szCs w:val="24"/>
              </w:rPr>
            </w:pPr>
            <w:r>
              <w:rPr>
                <w:rFonts w:eastAsia="仿宋" w:cs="Times New Roman"/>
                <w:kern w:val="0"/>
                <w:sz w:val="24"/>
                <w:szCs w:val="24"/>
              </w:rPr>
              <w:t xml:space="preserve">  部门履行职责而实际完成工作数与计划工作数的比率，用以反映和考核部门履职工作任务目标的实现程度。</w:t>
            </w:r>
            <w:r>
              <w:rPr>
                <w:rFonts w:eastAsia="仿宋" w:cs="Times New Roman"/>
                <w:kern w:val="0"/>
                <w:sz w:val="24"/>
                <w:szCs w:val="24"/>
              </w:rPr>
              <w:br w:type="textWrapping"/>
            </w:r>
            <w:r>
              <w:rPr>
                <w:rFonts w:eastAsia="仿宋" w:cs="Times New Roman"/>
                <w:kern w:val="0"/>
                <w:sz w:val="24"/>
                <w:szCs w:val="24"/>
              </w:rPr>
              <w:t xml:space="preserve">  实际完成率=（实际完成工作数/计划工作数）×100%。</w:t>
            </w:r>
            <w:r>
              <w:rPr>
                <w:rFonts w:eastAsia="仿宋" w:cs="Times New Roman"/>
                <w:kern w:val="0"/>
                <w:sz w:val="24"/>
                <w:szCs w:val="24"/>
              </w:rPr>
              <w:br w:type="textWrapping"/>
            </w:r>
            <w:r>
              <w:rPr>
                <w:rFonts w:eastAsia="仿宋" w:cs="Times New Roman"/>
                <w:kern w:val="0"/>
                <w:sz w:val="24"/>
                <w:szCs w:val="24"/>
              </w:rPr>
              <w:t xml:space="preserve">  实际完成工作数：一定时期（年度或规划期）内部门实际完成工作任务的数量。</w:t>
            </w:r>
            <w:r>
              <w:rPr>
                <w:rFonts w:eastAsia="仿宋" w:cs="Times New Roman"/>
                <w:kern w:val="0"/>
                <w:sz w:val="24"/>
                <w:szCs w:val="24"/>
              </w:rPr>
              <w:br w:type="textWrapping"/>
            </w:r>
            <w:r>
              <w:rPr>
                <w:rFonts w:eastAsia="仿宋" w:cs="Times New Roman"/>
                <w:kern w:val="0"/>
                <w:sz w:val="24"/>
                <w:szCs w:val="24"/>
              </w:rPr>
              <w:t xml:space="preserve">  计划工作数：部门整体绩效目标确定的一定时期（年度或规划期）内预计完成工作任务的数量。</w:t>
            </w:r>
          </w:p>
        </w:tc>
        <w:tc>
          <w:tcPr>
            <w:tcW w:w="3036" w:type="dxa"/>
            <w:tcBorders>
              <w:top w:val="single" w:color="auto" w:sz="4" w:space="0"/>
              <w:left w:val="nil"/>
              <w:bottom w:val="single" w:color="auto" w:sz="4" w:space="0"/>
              <w:right w:val="single" w:color="auto" w:sz="4" w:space="0"/>
            </w:tcBorders>
            <w:noWrap w:val="0"/>
            <w:vAlign w:val="center"/>
          </w:tcPr>
          <w:p w14:paraId="3B215102">
            <w:pPr>
              <w:widowControl/>
              <w:spacing w:line="280" w:lineRule="exact"/>
              <w:jc w:val="left"/>
              <w:rPr>
                <w:rFonts w:eastAsia="仿宋" w:cs="Times New Roman"/>
                <w:kern w:val="0"/>
                <w:sz w:val="24"/>
                <w:szCs w:val="24"/>
              </w:rPr>
            </w:pPr>
            <w:r>
              <w:rPr>
                <w:rFonts w:eastAsia="仿宋" w:cs="Times New Roman"/>
                <w:kern w:val="0"/>
                <w:sz w:val="24"/>
                <w:szCs w:val="24"/>
              </w:rPr>
              <w:t>　</w:t>
            </w:r>
          </w:p>
        </w:tc>
        <w:tc>
          <w:tcPr>
            <w:tcW w:w="726" w:type="dxa"/>
            <w:vMerge w:val="restart"/>
            <w:tcBorders>
              <w:top w:val="single" w:color="auto" w:sz="4" w:space="0"/>
              <w:left w:val="nil"/>
              <w:right w:val="single" w:color="auto" w:sz="4" w:space="0"/>
            </w:tcBorders>
            <w:noWrap/>
            <w:vAlign w:val="center"/>
          </w:tcPr>
          <w:p w14:paraId="01ACE373">
            <w:pPr>
              <w:widowControl/>
              <w:jc w:val="left"/>
              <w:rPr>
                <w:rFonts w:eastAsia="仿宋" w:cs="Times New Roman"/>
                <w:kern w:val="0"/>
                <w:sz w:val="24"/>
                <w:szCs w:val="24"/>
              </w:rPr>
            </w:pPr>
            <w:r>
              <w:rPr>
                <w:rFonts w:eastAsia="仿宋" w:cs="Times New Roman"/>
                <w:kern w:val="0"/>
                <w:sz w:val="24"/>
                <w:szCs w:val="24"/>
              </w:rPr>
              <w:t>　24</w:t>
            </w:r>
          </w:p>
          <w:p w14:paraId="404D7CB2">
            <w:pPr>
              <w:widowControl/>
              <w:jc w:val="left"/>
              <w:rPr>
                <w:rFonts w:eastAsia="仿宋" w:cs="Times New Roman"/>
                <w:kern w:val="0"/>
                <w:sz w:val="24"/>
                <w:szCs w:val="24"/>
              </w:rPr>
            </w:pPr>
            <w:r>
              <w:rPr>
                <w:rFonts w:eastAsia="仿宋" w:cs="Times New Roman"/>
                <w:kern w:val="0"/>
                <w:sz w:val="24"/>
                <w:szCs w:val="24"/>
              </w:rPr>
              <w:t>　</w:t>
            </w:r>
          </w:p>
          <w:p w14:paraId="22BF3005">
            <w:pPr>
              <w:widowControl/>
              <w:jc w:val="left"/>
              <w:rPr>
                <w:rFonts w:eastAsia="仿宋" w:cs="Times New Roman"/>
                <w:kern w:val="0"/>
                <w:sz w:val="24"/>
                <w:szCs w:val="24"/>
              </w:rPr>
            </w:pPr>
            <w:r>
              <w:rPr>
                <w:rFonts w:eastAsia="仿宋" w:cs="Times New Roman"/>
                <w:kern w:val="0"/>
                <w:sz w:val="24"/>
                <w:szCs w:val="24"/>
              </w:rPr>
              <w:t>　</w:t>
            </w:r>
          </w:p>
        </w:tc>
      </w:tr>
      <w:tr w14:paraId="6B7434F2">
        <w:tblPrEx>
          <w:tblCellMar>
            <w:top w:w="0" w:type="dxa"/>
            <w:left w:w="108" w:type="dxa"/>
            <w:bottom w:w="0" w:type="dxa"/>
            <w:right w:w="108" w:type="dxa"/>
          </w:tblCellMar>
        </w:tblPrEx>
        <w:trPr>
          <w:trHeight w:val="2966"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4752347E">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665252D5">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2A6862AF">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03984E01">
            <w:pPr>
              <w:widowControl/>
              <w:spacing w:line="280" w:lineRule="exact"/>
              <w:jc w:val="left"/>
              <w:rPr>
                <w:rFonts w:eastAsia="仿宋" w:cs="Times New Roman"/>
                <w:kern w:val="0"/>
                <w:sz w:val="24"/>
                <w:szCs w:val="24"/>
              </w:rPr>
            </w:pPr>
            <w:r>
              <w:rPr>
                <w:rFonts w:eastAsia="仿宋" w:cs="Times New Roman"/>
                <w:kern w:val="0"/>
                <w:sz w:val="24"/>
                <w:szCs w:val="24"/>
              </w:rPr>
              <w:t>完成及时率</w:t>
            </w:r>
          </w:p>
        </w:tc>
        <w:tc>
          <w:tcPr>
            <w:tcW w:w="516" w:type="dxa"/>
            <w:vMerge w:val="continue"/>
            <w:tcBorders>
              <w:top w:val="single" w:color="auto" w:sz="4" w:space="0"/>
              <w:left w:val="single" w:color="auto" w:sz="4" w:space="0"/>
              <w:bottom w:val="single" w:color="auto" w:sz="4" w:space="0"/>
              <w:right w:val="single" w:color="auto" w:sz="4" w:space="0"/>
            </w:tcBorders>
            <w:noWrap w:val="0"/>
            <w:vAlign w:val="center"/>
          </w:tcPr>
          <w:p w14:paraId="0B96FDAC">
            <w:pPr>
              <w:widowControl/>
              <w:spacing w:line="280" w:lineRule="exact"/>
              <w:jc w:val="left"/>
              <w:rPr>
                <w:rFonts w:eastAsia="仿宋" w:cs="Times New Roman"/>
                <w:kern w:val="0"/>
                <w:sz w:val="24"/>
                <w:szCs w:val="24"/>
              </w:rPr>
            </w:pPr>
          </w:p>
        </w:tc>
        <w:tc>
          <w:tcPr>
            <w:tcW w:w="3752" w:type="dxa"/>
            <w:tcBorders>
              <w:top w:val="single" w:color="auto" w:sz="4" w:space="0"/>
              <w:left w:val="nil"/>
              <w:bottom w:val="single" w:color="auto" w:sz="4" w:space="0"/>
              <w:right w:val="single" w:color="auto" w:sz="4" w:space="0"/>
            </w:tcBorders>
            <w:noWrap w:val="0"/>
            <w:vAlign w:val="center"/>
          </w:tcPr>
          <w:p w14:paraId="14F49185">
            <w:pPr>
              <w:widowControl/>
              <w:spacing w:line="280" w:lineRule="exact"/>
              <w:jc w:val="left"/>
              <w:rPr>
                <w:rFonts w:eastAsia="仿宋" w:cs="Times New Roman"/>
                <w:kern w:val="0"/>
                <w:sz w:val="24"/>
                <w:szCs w:val="24"/>
              </w:rPr>
            </w:pPr>
            <w:r>
              <w:rPr>
                <w:rFonts w:eastAsia="仿宋" w:cs="Times New Roman"/>
                <w:kern w:val="0"/>
                <w:sz w:val="24"/>
                <w:szCs w:val="24"/>
              </w:rPr>
              <w:t xml:space="preserve">  部门在规定时限内及时完成的实际工作数与计划工作数的比率,用以反映和考核部门履职时效目标的实现程度。</w:t>
            </w:r>
            <w:r>
              <w:rPr>
                <w:rFonts w:eastAsia="仿宋" w:cs="Times New Roman"/>
                <w:kern w:val="0"/>
                <w:sz w:val="24"/>
                <w:szCs w:val="24"/>
              </w:rPr>
              <w:br w:type="textWrapping"/>
            </w:r>
            <w:r>
              <w:rPr>
                <w:rFonts w:eastAsia="仿宋" w:cs="Times New Roman"/>
                <w:kern w:val="0"/>
                <w:sz w:val="24"/>
                <w:szCs w:val="24"/>
              </w:rPr>
              <w:t xml:space="preserve">  完成及时率=（及时完成实际工作数/计划工作数）×100%。</w:t>
            </w:r>
            <w:r>
              <w:rPr>
                <w:rFonts w:eastAsia="仿宋" w:cs="Times New Roman"/>
                <w:kern w:val="0"/>
                <w:sz w:val="24"/>
                <w:szCs w:val="24"/>
              </w:rPr>
              <w:br w:type="textWrapping"/>
            </w:r>
            <w:r>
              <w:rPr>
                <w:rFonts w:eastAsia="仿宋" w:cs="Times New Roman"/>
                <w:kern w:val="0"/>
                <w:sz w:val="24"/>
                <w:szCs w:val="24"/>
              </w:rPr>
              <w:t xml:space="preserve">  及时完成实际工作数：部门按照整体绩效目标确定的时限实际完成的工作任务数量。</w:t>
            </w:r>
          </w:p>
        </w:tc>
        <w:tc>
          <w:tcPr>
            <w:tcW w:w="3036" w:type="dxa"/>
            <w:tcBorders>
              <w:top w:val="single" w:color="auto" w:sz="4" w:space="0"/>
              <w:left w:val="nil"/>
              <w:bottom w:val="single" w:color="auto" w:sz="4" w:space="0"/>
              <w:right w:val="single" w:color="auto" w:sz="4" w:space="0"/>
            </w:tcBorders>
            <w:noWrap w:val="0"/>
            <w:vAlign w:val="center"/>
          </w:tcPr>
          <w:p w14:paraId="26557814">
            <w:pPr>
              <w:widowControl/>
              <w:spacing w:line="280" w:lineRule="exact"/>
              <w:jc w:val="left"/>
              <w:rPr>
                <w:rFonts w:eastAsia="仿宋" w:cs="Times New Roman"/>
                <w:kern w:val="0"/>
                <w:sz w:val="24"/>
                <w:szCs w:val="24"/>
              </w:rPr>
            </w:pPr>
            <w:r>
              <w:rPr>
                <w:rFonts w:eastAsia="仿宋" w:cs="Times New Roman"/>
                <w:kern w:val="0"/>
                <w:sz w:val="24"/>
                <w:szCs w:val="24"/>
              </w:rPr>
              <w:t>　</w:t>
            </w:r>
          </w:p>
        </w:tc>
        <w:tc>
          <w:tcPr>
            <w:tcW w:w="726" w:type="dxa"/>
            <w:vMerge w:val="continue"/>
            <w:tcBorders>
              <w:left w:val="nil"/>
              <w:right w:val="single" w:color="auto" w:sz="4" w:space="0"/>
            </w:tcBorders>
            <w:noWrap/>
            <w:vAlign w:val="center"/>
          </w:tcPr>
          <w:p w14:paraId="0DC86BAE">
            <w:pPr>
              <w:widowControl/>
              <w:jc w:val="left"/>
              <w:rPr>
                <w:rFonts w:eastAsia="仿宋" w:cs="Times New Roman"/>
                <w:kern w:val="0"/>
                <w:sz w:val="24"/>
                <w:szCs w:val="24"/>
              </w:rPr>
            </w:pPr>
          </w:p>
        </w:tc>
      </w:tr>
      <w:tr w14:paraId="047BE778">
        <w:tblPrEx>
          <w:tblCellMar>
            <w:top w:w="0" w:type="dxa"/>
            <w:left w:w="108" w:type="dxa"/>
            <w:bottom w:w="0" w:type="dxa"/>
            <w:right w:w="108" w:type="dxa"/>
          </w:tblCellMar>
        </w:tblPrEx>
        <w:trPr>
          <w:trHeight w:val="3248"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1BD14726">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1658CA1C">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781FA205">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06889A25">
            <w:pPr>
              <w:widowControl/>
              <w:spacing w:line="280" w:lineRule="exact"/>
              <w:jc w:val="left"/>
              <w:rPr>
                <w:rFonts w:eastAsia="仿宋" w:cs="Times New Roman"/>
                <w:kern w:val="0"/>
                <w:sz w:val="24"/>
                <w:szCs w:val="24"/>
              </w:rPr>
            </w:pPr>
            <w:r>
              <w:rPr>
                <w:rFonts w:eastAsia="仿宋" w:cs="Times New Roman"/>
                <w:kern w:val="0"/>
                <w:sz w:val="24"/>
                <w:szCs w:val="24"/>
              </w:rPr>
              <w:t>质量达标率</w:t>
            </w:r>
          </w:p>
        </w:tc>
        <w:tc>
          <w:tcPr>
            <w:tcW w:w="516" w:type="dxa"/>
            <w:vMerge w:val="continue"/>
            <w:tcBorders>
              <w:top w:val="single" w:color="auto" w:sz="4" w:space="0"/>
              <w:left w:val="single" w:color="auto" w:sz="4" w:space="0"/>
              <w:bottom w:val="single" w:color="auto" w:sz="4" w:space="0"/>
              <w:right w:val="single" w:color="auto" w:sz="4" w:space="0"/>
            </w:tcBorders>
            <w:noWrap w:val="0"/>
            <w:vAlign w:val="center"/>
          </w:tcPr>
          <w:p w14:paraId="1A633E97">
            <w:pPr>
              <w:widowControl/>
              <w:spacing w:line="280" w:lineRule="exact"/>
              <w:jc w:val="left"/>
              <w:rPr>
                <w:rFonts w:eastAsia="仿宋" w:cs="Times New Roman"/>
                <w:kern w:val="0"/>
                <w:sz w:val="24"/>
                <w:szCs w:val="24"/>
              </w:rPr>
            </w:pPr>
          </w:p>
        </w:tc>
        <w:tc>
          <w:tcPr>
            <w:tcW w:w="3752" w:type="dxa"/>
            <w:tcBorders>
              <w:top w:val="single" w:color="auto" w:sz="4" w:space="0"/>
              <w:left w:val="nil"/>
              <w:bottom w:val="single" w:color="auto" w:sz="4" w:space="0"/>
              <w:right w:val="single" w:color="auto" w:sz="4" w:space="0"/>
            </w:tcBorders>
            <w:noWrap w:val="0"/>
            <w:vAlign w:val="center"/>
          </w:tcPr>
          <w:p w14:paraId="5FADFB2C">
            <w:pPr>
              <w:widowControl/>
              <w:spacing w:line="280" w:lineRule="exact"/>
              <w:jc w:val="left"/>
              <w:rPr>
                <w:rFonts w:eastAsia="仿宋" w:cs="Times New Roman"/>
                <w:kern w:val="0"/>
                <w:sz w:val="24"/>
                <w:szCs w:val="24"/>
              </w:rPr>
            </w:pPr>
            <w:r>
              <w:rPr>
                <w:rFonts w:eastAsia="仿宋" w:cs="Times New Roman"/>
                <w:kern w:val="0"/>
                <w:sz w:val="24"/>
                <w:szCs w:val="24"/>
              </w:rPr>
              <w:t xml:space="preserve">  达到质量标准（绩效标准值）的实际工作数与计划工作数的比率,用以反映和考核部门履职质量目标的实现程度。</w:t>
            </w:r>
            <w:r>
              <w:rPr>
                <w:rFonts w:eastAsia="仿宋" w:cs="Times New Roman"/>
                <w:kern w:val="0"/>
                <w:sz w:val="24"/>
                <w:szCs w:val="24"/>
              </w:rPr>
              <w:br w:type="textWrapping"/>
            </w:r>
            <w:r>
              <w:rPr>
                <w:rFonts w:eastAsia="仿宋" w:cs="Times New Roman"/>
                <w:kern w:val="0"/>
                <w:sz w:val="24"/>
                <w:szCs w:val="24"/>
              </w:rPr>
              <w:t xml:space="preserve">  质量达标率=（质量达标实际工作数/计划工作数）×100%。</w:t>
            </w:r>
            <w:r>
              <w:rPr>
                <w:rFonts w:eastAsia="仿宋" w:cs="Times New Roman"/>
                <w:kern w:val="0"/>
                <w:sz w:val="24"/>
                <w:szCs w:val="24"/>
              </w:rPr>
              <w:br w:type="textWrapping"/>
            </w:r>
            <w:r>
              <w:rPr>
                <w:rFonts w:eastAsia="仿宋" w:cs="Times New Roman"/>
                <w:kern w:val="0"/>
                <w:sz w:val="24"/>
                <w:szCs w:val="24"/>
              </w:rPr>
              <w:t xml:space="preserve">  质量达标实际工作数：一定时期（年度或规划期）内部门实际完成工作数中达到部门绩效目标要求（绩效标准值）的工作任务数量。</w:t>
            </w:r>
          </w:p>
        </w:tc>
        <w:tc>
          <w:tcPr>
            <w:tcW w:w="3036" w:type="dxa"/>
            <w:tcBorders>
              <w:top w:val="single" w:color="auto" w:sz="4" w:space="0"/>
              <w:left w:val="nil"/>
              <w:bottom w:val="single" w:color="auto" w:sz="4" w:space="0"/>
              <w:right w:val="single" w:color="auto" w:sz="4" w:space="0"/>
            </w:tcBorders>
            <w:noWrap w:val="0"/>
            <w:vAlign w:val="center"/>
          </w:tcPr>
          <w:p w14:paraId="37FD6978">
            <w:pPr>
              <w:widowControl/>
              <w:spacing w:line="280" w:lineRule="exact"/>
              <w:jc w:val="left"/>
              <w:rPr>
                <w:rFonts w:eastAsia="仿宋" w:cs="Times New Roman"/>
                <w:kern w:val="0"/>
                <w:sz w:val="24"/>
                <w:szCs w:val="24"/>
              </w:rPr>
            </w:pPr>
            <w:r>
              <w:rPr>
                <w:rFonts w:eastAsia="仿宋" w:cs="Times New Roman"/>
                <w:kern w:val="0"/>
                <w:sz w:val="24"/>
                <w:szCs w:val="24"/>
              </w:rPr>
              <w:t>　</w:t>
            </w:r>
          </w:p>
        </w:tc>
        <w:tc>
          <w:tcPr>
            <w:tcW w:w="726" w:type="dxa"/>
            <w:vMerge w:val="continue"/>
            <w:tcBorders>
              <w:left w:val="nil"/>
              <w:bottom w:val="single" w:color="auto" w:sz="4" w:space="0"/>
              <w:right w:val="single" w:color="auto" w:sz="4" w:space="0"/>
            </w:tcBorders>
            <w:noWrap/>
            <w:vAlign w:val="center"/>
          </w:tcPr>
          <w:p w14:paraId="6AB209D3">
            <w:pPr>
              <w:widowControl/>
              <w:jc w:val="left"/>
              <w:rPr>
                <w:rFonts w:eastAsia="仿宋" w:cs="Times New Roman"/>
                <w:kern w:val="0"/>
                <w:sz w:val="24"/>
                <w:szCs w:val="24"/>
              </w:rPr>
            </w:pPr>
          </w:p>
        </w:tc>
      </w:tr>
      <w:tr w14:paraId="24A2C4BA">
        <w:tblPrEx>
          <w:tblCellMar>
            <w:top w:w="0" w:type="dxa"/>
            <w:left w:w="108" w:type="dxa"/>
            <w:bottom w:w="0" w:type="dxa"/>
            <w:right w:w="108" w:type="dxa"/>
          </w:tblCellMar>
        </w:tblPrEx>
        <w:trPr>
          <w:trHeight w:val="2544"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7B46883A">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14329D3E">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2D558A65">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4AD3C747">
            <w:pPr>
              <w:widowControl/>
              <w:spacing w:line="280" w:lineRule="exact"/>
              <w:jc w:val="left"/>
              <w:rPr>
                <w:rFonts w:eastAsia="仿宋" w:cs="Times New Roman"/>
                <w:kern w:val="0"/>
                <w:sz w:val="24"/>
                <w:szCs w:val="24"/>
              </w:rPr>
            </w:pPr>
            <w:r>
              <w:rPr>
                <w:rFonts w:eastAsia="仿宋" w:cs="Times New Roman"/>
                <w:kern w:val="0"/>
                <w:sz w:val="24"/>
                <w:szCs w:val="24"/>
              </w:rPr>
              <w:t>重点工作办结率</w:t>
            </w:r>
          </w:p>
        </w:tc>
        <w:tc>
          <w:tcPr>
            <w:tcW w:w="516" w:type="dxa"/>
            <w:tcBorders>
              <w:top w:val="single" w:color="auto" w:sz="4" w:space="0"/>
              <w:left w:val="nil"/>
              <w:bottom w:val="single" w:color="auto" w:sz="4" w:space="0"/>
              <w:right w:val="single" w:color="auto" w:sz="4" w:space="0"/>
            </w:tcBorders>
            <w:noWrap w:val="0"/>
            <w:vAlign w:val="center"/>
          </w:tcPr>
          <w:p w14:paraId="12EF8CE2">
            <w:pPr>
              <w:widowControl/>
              <w:spacing w:line="280" w:lineRule="exact"/>
              <w:jc w:val="center"/>
              <w:rPr>
                <w:rFonts w:eastAsia="仿宋" w:cs="Times New Roman"/>
                <w:kern w:val="0"/>
                <w:sz w:val="24"/>
                <w:szCs w:val="24"/>
              </w:rPr>
            </w:pPr>
            <w:r>
              <w:rPr>
                <w:rFonts w:eastAsia="仿宋" w:cs="Times New Roman"/>
                <w:kern w:val="0"/>
                <w:sz w:val="24"/>
                <w:szCs w:val="24"/>
              </w:rPr>
              <w:t>6</w:t>
            </w:r>
          </w:p>
        </w:tc>
        <w:tc>
          <w:tcPr>
            <w:tcW w:w="3752" w:type="dxa"/>
            <w:tcBorders>
              <w:top w:val="single" w:color="auto" w:sz="4" w:space="0"/>
              <w:left w:val="nil"/>
              <w:bottom w:val="single" w:color="auto" w:sz="4" w:space="0"/>
              <w:right w:val="single" w:color="auto" w:sz="4" w:space="0"/>
            </w:tcBorders>
            <w:noWrap w:val="0"/>
            <w:vAlign w:val="center"/>
          </w:tcPr>
          <w:p w14:paraId="2B618009">
            <w:pPr>
              <w:widowControl/>
              <w:spacing w:line="280" w:lineRule="exact"/>
              <w:jc w:val="left"/>
              <w:rPr>
                <w:rFonts w:eastAsia="仿宋" w:cs="Times New Roman"/>
                <w:kern w:val="0"/>
                <w:sz w:val="24"/>
                <w:szCs w:val="24"/>
              </w:rPr>
            </w:pPr>
            <w:r>
              <w:rPr>
                <w:rFonts w:eastAsia="仿宋" w:cs="Times New Roman"/>
                <w:kern w:val="0"/>
                <w:sz w:val="24"/>
                <w:szCs w:val="24"/>
              </w:rPr>
              <w:t xml:space="preserve">  部门年度重点工作实际完成数与交办或下达数的比率，用以反映部门对重点工作的办理落实程度。</w:t>
            </w:r>
            <w:r>
              <w:rPr>
                <w:rFonts w:eastAsia="仿宋" w:cs="Times New Roman"/>
                <w:kern w:val="0"/>
                <w:sz w:val="24"/>
                <w:szCs w:val="24"/>
              </w:rPr>
              <w:br w:type="textWrapping"/>
            </w:r>
            <w:r>
              <w:rPr>
                <w:rFonts w:eastAsia="仿宋" w:cs="Times New Roman"/>
                <w:kern w:val="0"/>
                <w:sz w:val="24"/>
                <w:szCs w:val="24"/>
              </w:rPr>
              <w:t xml:space="preserve">  重点工作办结率=（重点工作实际完成数/交办或下达数）×100%。</w:t>
            </w:r>
            <w:r>
              <w:rPr>
                <w:rFonts w:eastAsia="仿宋" w:cs="Times New Roman"/>
                <w:kern w:val="0"/>
                <w:sz w:val="24"/>
                <w:szCs w:val="24"/>
              </w:rPr>
              <w:br w:type="textWrapping"/>
            </w:r>
            <w:r>
              <w:rPr>
                <w:rFonts w:eastAsia="仿宋" w:cs="Times New Roman"/>
                <w:kern w:val="0"/>
                <w:sz w:val="24"/>
                <w:szCs w:val="24"/>
              </w:rPr>
              <w:t xml:space="preserve">  重点工作是指党委、政府、人大、相关部门交办或下达的工作任务。</w:t>
            </w:r>
          </w:p>
        </w:tc>
        <w:tc>
          <w:tcPr>
            <w:tcW w:w="3036" w:type="dxa"/>
            <w:tcBorders>
              <w:top w:val="single" w:color="auto" w:sz="4" w:space="0"/>
              <w:left w:val="nil"/>
              <w:bottom w:val="single" w:color="auto" w:sz="4" w:space="0"/>
              <w:right w:val="single" w:color="auto" w:sz="4" w:space="0"/>
            </w:tcBorders>
            <w:noWrap w:val="0"/>
            <w:vAlign w:val="center"/>
          </w:tcPr>
          <w:p w14:paraId="45911035">
            <w:pPr>
              <w:widowControl/>
              <w:spacing w:line="280" w:lineRule="exact"/>
              <w:jc w:val="center"/>
              <w:rPr>
                <w:rFonts w:eastAsia="仿宋" w:cs="Times New Roman"/>
                <w:kern w:val="0"/>
                <w:sz w:val="24"/>
                <w:szCs w:val="24"/>
              </w:rPr>
            </w:pPr>
          </w:p>
        </w:tc>
        <w:tc>
          <w:tcPr>
            <w:tcW w:w="726" w:type="dxa"/>
            <w:tcBorders>
              <w:top w:val="single" w:color="auto" w:sz="4" w:space="0"/>
              <w:left w:val="nil"/>
              <w:bottom w:val="single" w:color="auto" w:sz="4" w:space="0"/>
              <w:right w:val="single" w:color="auto" w:sz="4" w:space="0"/>
            </w:tcBorders>
            <w:noWrap/>
            <w:vAlign w:val="center"/>
          </w:tcPr>
          <w:p w14:paraId="17CE7E27">
            <w:pPr>
              <w:widowControl/>
              <w:jc w:val="center"/>
              <w:rPr>
                <w:rFonts w:eastAsia="仿宋" w:cs="Times New Roman"/>
                <w:kern w:val="0"/>
                <w:sz w:val="24"/>
                <w:szCs w:val="24"/>
              </w:rPr>
            </w:pPr>
            <w:r>
              <w:rPr>
                <w:rFonts w:eastAsia="仿宋" w:cs="Times New Roman"/>
                <w:kern w:val="0"/>
                <w:sz w:val="24"/>
                <w:szCs w:val="24"/>
              </w:rPr>
              <w:t>6</w:t>
            </w:r>
          </w:p>
        </w:tc>
      </w:tr>
      <w:tr w14:paraId="19914C97">
        <w:tblPrEx>
          <w:tblCellMar>
            <w:top w:w="0" w:type="dxa"/>
            <w:left w:w="108" w:type="dxa"/>
            <w:bottom w:w="0" w:type="dxa"/>
            <w:right w:w="108" w:type="dxa"/>
          </w:tblCellMar>
        </w:tblPrEx>
        <w:trPr>
          <w:trHeight w:val="2404" w:hRule="atLeast"/>
          <w:jc w:val="center"/>
        </w:trPr>
        <w:tc>
          <w:tcPr>
            <w:tcW w:w="731"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26D26CBF">
            <w:pPr>
              <w:widowControl/>
              <w:spacing w:line="280" w:lineRule="exact"/>
              <w:jc w:val="center"/>
              <w:rPr>
                <w:rFonts w:eastAsia="仿宋" w:cs="Times New Roman"/>
                <w:kern w:val="0"/>
                <w:sz w:val="24"/>
                <w:szCs w:val="24"/>
              </w:rPr>
            </w:pPr>
            <w:r>
              <w:rPr>
                <w:rFonts w:eastAsia="仿宋" w:cs="Times New Roman"/>
                <w:kern w:val="0"/>
                <w:sz w:val="24"/>
                <w:szCs w:val="24"/>
              </w:rPr>
              <w:t>效果</w:t>
            </w:r>
          </w:p>
        </w:tc>
        <w:tc>
          <w:tcPr>
            <w:tcW w:w="638" w:type="dxa"/>
            <w:vMerge w:val="restart"/>
            <w:tcBorders>
              <w:top w:val="single" w:color="auto" w:sz="4" w:space="0"/>
              <w:left w:val="single" w:color="auto" w:sz="4" w:space="0"/>
              <w:bottom w:val="single" w:color="auto" w:sz="4" w:space="0"/>
              <w:right w:val="single" w:color="auto" w:sz="4" w:space="0"/>
            </w:tcBorders>
            <w:noWrap w:val="0"/>
            <w:vAlign w:val="center"/>
          </w:tcPr>
          <w:p w14:paraId="62111508">
            <w:pPr>
              <w:widowControl/>
              <w:spacing w:line="280" w:lineRule="exact"/>
              <w:jc w:val="center"/>
              <w:rPr>
                <w:rFonts w:eastAsia="仿宋" w:cs="Times New Roman"/>
                <w:kern w:val="0"/>
                <w:sz w:val="24"/>
                <w:szCs w:val="24"/>
              </w:rPr>
            </w:pPr>
            <w:r>
              <w:rPr>
                <w:rFonts w:eastAsia="仿宋" w:cs="Times New Roman"/>
                <w:kern w:val="0"/>
                <w:sz w:val="24"/>
                <w:szCs w:val="24"/>
              </w:rPr>
              <w:t>履职</w:t>
            </w:r>
            <w:r>
              <w:rPr>
                <w:rFonts w:eastAsia="仿宋" w:cs="Times New Roman"/>
                <w:kern w:val="0"/>
                <w:sz w:val="24"/>
                <w:szCs w:val="24"/>
              </w:rPr>
              <w:br w:type="textWrapping"/>
            </w:r>
            <w:r>
              <w:rPr>
                <w:rFonts w:eastAsia="仿宋" w:cs="Times New Roman"/>
                <w:kern w:val="0"/>
                <w:sz w:val="24"/>
                <w:szCs w:val="24"/>
              </w:rPr>
              <w:t>效益</w:t>
            </w:r>
          </w:p>
        </w:tc>
        <w:tc>
          <w:tcPr>
            <w:tcW w:w="548" w:type="dxa"/>
            <w:vMerge w:val="restart"/>
            <w:tcBorders>
              <w:top w:val="single" w:color="auto" w:sz="4" w:space="0"/>
              <w:left w:val="single" w:color="auto" w:sz="4" w:space="0"/>
              <w:bottom w:val="single" w:color="auto" w:sz="4" w:space="0"/>
              <w:right w:val="single" w:color="auto" w:sz="4" w:space="0"/>
            </w:tcBorders>
            <w:noWrap w:val="0"/>
            <w:vAlign w:val="center"/>
          </w:tcPr>
          <w:p w14:paraId="12CCEFC8">
            <w:pPr>
              <w:widowControl/>
              <w:spacing w:line="280" w:lineRule="exact"/>
              <w:jc w:val="center"/>
              <w:rPr>
                <w:rFonts w:eastAsia="仿宋" w:cs="Times New Roman"/>
                <w:kern w:val="0"/>
                <w:sz w:val="24"/>
                <w:szCs w:val="24"/>
              </w:rPr>
            </w:pPr>
            <w:r>
              <w:rPr>
                <w:rFonts w:eastAsia="仿宋" w:cs="Times New Roman"/>
                <w:kern w:val="0"/>
                <w:sz w:val="24"/>
                <w:szCs w:val="24"/>
              </w:rPr>
              <w:t>30</w:t>
            </w:r>
          </w:p>
        </w:tc>
        <w:tc>
          <w:tcPr>
            <w:tcW w:w="676" w:type="dxa"/>
            <w:tcBorders>
              <w:top w:val="single" w:color="auto" w:sz="4" w:space="0"/>
              <w:left w:val="nil"/>
              <w:bottom w:val="single" w:color="auto" w:sz="4" w:space="0"/>
              <w:right w:val="nil"/>
            </w:tcBorders>
            <w:noWrap/>
            <w:vAlign w:val="center"/>
          </w:tcPr>
          <w:p w14:paraId="7E8BC636">
            <w:pPr>
              <w:widowControl/>
              <w:spacing w:line="280" w:lineRule="exact"/>
              <w:rPr>
                <w:rFonts w:eastAsia="仿宋" w:cs="Times New Roman"/>
                <w:color w:val="000000"/>
                <w:kern w:val="0"/>
                <w:sz w:val="24"/>
                <w:szCs w:val="24"/>
              </w:rPr>
            </w:pPr>
            <w:r>
              <w:rPr>
                <w:rFonts w:eastAsia="仿宋" w:cs="Times New Roman"/>
                <w:color w:val="000000"/>
                <w:kern w:val="0"/>
                <w:sz w:val="24"/>
                <w:szCs w:val="24"/>
              </w:rPr>
              <w:t>实施效益</w:t>
            </w:r>
          </w:p>
        </w:tc>
        <w:tc>
          <w:tcPr>
            <w:tcW w:w="516" w:type="dxa"/>
            <w:tcBorders>
              <w:top w:val="single" w:color="auto" w:sz="4" w:space="0"/>
              <w:left w:val="single" w:color="auto" w:sz="4" w:space="0"/>
              <w:bottom w:val="single" w:color="auto" w:sz="4" w:space="0"/>
              <w:right w:val="single" w:color="auto" w:sz="4" w:space="0"/>
            </w:tcBorders>
            <w:noWrap w:val="0"/>
            <w:vAlign w:val="center"/>
          </w:tcPr>
          <w:p w14:paraId="3BE79A7A">
            <w:pPr>
              <w:widowControl/>
              <w:spacing w:line="280" w:lineRule="exact"/>
              <w:jc w:val="center"/>
              <w:rPr>
                <w:rFonts w:eastAsia="仿宋" w:cs="Times New Roman"/>
                <w:kern w:val="0"/>
                <w:sz w:val="24"/>
                <w:szCs w:val="24"/>
              </w:rPr>
            </w:pPr>
            <w:r>
              <w:rPr>
                <w:rFonts w:eastAsia="仿宋" w:cs="Times New Roman"/>
                <w:kern w:val="0"/>
                <w:sz w:val="24"/>
                <w:szCs w:val="24"/>
              </w:rPr>
              <w:t>22</w:t>
            </w:r>
          </w:p>
        </w:tc>
        <w:tc>
          <w:tcPr>
            <w:tcW w:w="3752" w:type="dxa"/>
            <w:tcBorders>
              <w:top w:val="single" w:color="auto" w:sz="4" w:space="0"/>
              <w:left w:val="nil"/>
              <w:bottom w:val="single" w:color="auto" w:sz="4" w:space="0"/>
              <w:right w:val="single" w:color="auto" w:sz="4" w:space="0"/>
            </w:tcBorders>
            <w:noWrap w:val="0"/>
            <w:vAlign w:val="center"/>
          </w:tcPr>
          <w:p w14:paraId="46E1FBA6">
            <w:pPr>
              <w:widowControl/>
              <w:spacing w:line="280" w:lineRule="exact"/>
              <w:jc w:val="left"/>
              <w:rPr>
                <w:rFonts w:eastAsia="仿宋" w:cs="Times New Roman"/>
                <w:kern w:val="0"/>
                <w:sz w:val="24"/>
                <w:szCs w:val="24"/>
              </w:rPr>
            </w:pPr>
            <w:r>
              <w:rPr>
                <w:rFonts w:eastAsia="仿宋" w:cs="Times New Roman"/>
                <w:kern w:val="0"/>
                <w:sz w:val="24"/>
                <w:szCs w:val="24"/>
              </w:rPr>
              <w:t xml:space="preserve">  部门履行职责对经济发展、社会发展和生态环境等所带来的直接或间接影响。</w:t>
            </w:r>
          </w:p>
        </w:tc>
        <w:tc>
          <w:tcPr>
            <w:tcW w:w="3036" w:type="dxa"/>
            <w:tcBorders>
              <w:top w:val="single" w:color="auto" w:sz="4" w:space="0"/>
              <w:left w:val="nil"/>
              <w:bottom w:val="single" w:color="auto" w:sz="4" w:space="0"/>
              <w:right w:val="single" w:color="auto" w:sz="4" w:space="0"/>
            </w:tcBorders>
            <w:noWrap w:val="0"/>
            <w:vAlign w:val="center"/>
          </w:tcPr>
          <w:p w14:paraId="45257832">
            <w:pPr>
              <w:widowControl/>
              <w:spacing w:line="280" w:lineRule="exact"/>
              <w:jc w:val="left"/>
              <w:rPr>
                <w:rFonts w:eastAsia="仿宋" w:cs="Times New Roman"/>
                <w:kern w:val="0"/>
                <w:sz w:val="24"/>
                <w:szCs w:val="24"/>
              </w:rPr>
            </w:pPr>
            <w:r>
              <w:rPr>
                <w:rFonts w:eastAsia="仿宋" w:cs="Times New Roman"/>
                <w:kern w:val="0"/>
                <w:sz w:val="24"/>
                <w:szCs w:val="24"/>
              </w:rPr>
              <w:t>此指标为设置部门整体支出绩效评价指标时必须考虑的共性要素，可根据部门实际并结合部门整体支出绩效目标设立情况有选择的进行设置，并将其细化为相应的个性化指标。</w:t>
            </w:r>
          </w:p>
        </w:tc>
        <w:tc>
          <w:tcPr>
            <w:tcW w:w="726" w:type="dxa"/>
            <w:tcBorders>
              <w:top w:val="single" w:color="auto" w:sz="4" w:space="0"/>
              <w:left w:val="nil"/>
              <w:bottom w:val="single" w:color="auto" w:sz="4" w:space="0"/>
              <w:right w:val="single" w:color="auto" w:sz="4" w:space="0"/>
            </w:tcBorders>
            <w:noWrap/>
            <w:vAlign w:val="center"/>
          </w:tcPr>
          <w:p w14:paraId="24E21633">
            <w:pPr>
              <w:widowControl/>
              <w:jc w:val="left"/>
              <w:rPr>
                <w:rFonts w:eastAsia="仿宋" w:cs="Times New Roman"/>
                <w:kern w:val="0"/>
                <w:sz w:val="24"/>
                <w:szCs w:val="24"/>
              </w:rPr>
            </w:pPr>
            <w:r>
              <w:rPr>
                <w:rFonts w:eastAsia="仿宋" w:cs="Times New Roman"/>
                <w:kern w:val="0"/>
                <w:sz w:val="24"/>
                <w:szCs w:val="24"/>
              </w:rPr>
              <w:t>　22</w:t>
            </w:r>
          </w:p>
        </w:tc>
      </w:tr>
      <w:tr w14:paraId="490766CE">
        <w:tblPrEx>
          <w:tblCellMar>
            <w:top w:w="0" w:type="dxa"/>
            <w:left w:w="108" w:type="dxa"/>
            <w:bottom w:w="0" w:type="dxa"/>
            <w:right w:w="108" w:type="dxa"/>
          </w:tblCellMar>
        </w:tblPrEx>
        <w:trPr>
          <w:trHeight w:val="1115"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6E10AAC9">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69E44987">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7C0F7B23">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32DED2B3">
            <w:pPr>
              <w:widowControl/>
              <w:spacing w:line="280" w:lineRule="exact"/>
              <w:jc w:val="left"/>
              <w:rPr>
                <w:rFonts w:eastAsia="仿宋" w:cs="Times New Roman"/>
                <w:kern w:val="0"/>
                <w:sz w:val="24"/>
                <w:szCs w:val="24"/>
              </w:rPr>
            </w:pPr>
            <w:r>
              <w:rPr>
                <w:rFonts w:eastAsia="仿宋" w:cs="Times New Roman"/>
                <w:kern w:val="0"/>
                <w:sz w:val="24"/>
                <w:szCs w:val="24"/>
              </w:rPr>
              <w:t>行政效能</w:t>
            </w:r>
          </w:p>
        </w:tc>
        <w:tc>
          <w:tcPr>
            <w:tcW w:w="516" w:type="dxa"/>
            <w:tcBorders>
              <w:top w:val="single" w:color="auto" w:sz="4" w:space="0"/>
              <w:left w:val="nil"/>
              <w:bottom w:val="single" w:color="auto" w:sz="4" w:space="0"/>
              <w:right w:val="single" w:color="auto" w:sz="4" w:space="0"/>
            </w:tcBorders>
            <w:noWrap w:val="0"/>
            <w:vAlign w:val="center"/>
          </w:tcPr>
          <w:p w14:paraId="5132D027">
            <w:pPr>
              <w:widowControl/>
              <w:spacing w:line="280" w:lineRule="exact"/>
              <w:jc w:val="center"/>
              <w:rPr>
                <w:rFonts w:eastAsia="仿宋" w:cs="Times New Roman"/>
                <w:kern w:val="0"/>
                <w:sz w:val="24"/>
                <w:szCs w:val="24"/>
              </w:rPr>
            </w:pPr>
            <w:r>
              <w:rPr>
                <w:rFonts w:eastAsia="仿宋" w:cs="Times New Roman"/>
                <w:kern w:val="0"/>
                <w:sz w:val="24"/>
                <w:szCs w:val="24"/>
              </w:rPr>
              <w:t>3</w:t>
            </w:r>
          </w:p>
        </w:tc>
        <w:tc>
          <w:tcPr>
            <w:tcW w:w="3752" w:type="dxa"/>
            <w:tcBorders>
              <w:top w:val="single" w:color="auto" w:sz="4" w:space="0"/>
              <w:left w:val="nil"/>
              <w:bottom w:val="single" w:color="auto" w:sz="4" w:space="0"/>
              <w:right w:val="single" w:color="auto" w:sz="4" w:space="0"/>
            </w:tcBorders>
            <w:noWrap w:val="0"/>
            <w:vAlign w:val="center"/>
          </w:tcPr>
          <w:p w14:paraId="498083C9">
            <w:pPr>
              <w:widowControl/>
              <w:spacing w:line="280" w:lineRule="exact"/>
              <w:jc w:val="left"/>
              <w:rPr>
                <w:rFonts w:eastAsia="仿宋" w:cs="Times New Roman"/>
                <w:kern w:val="0"/>
                <w:sz w:val="24"/>
                <w:szCs w:val="24"/>
              </w:rPr>
            </w:pPr>
            <w:r>
              <w:rPr>
                <w:rFonts w:eastAsia="仿宋" w:cs="Times New Roman"/>
                <w:kern w:val="0"/>
                <w:sz w:val="24"/>
                <w:szCs w:val="24"/>
              </w:rPr>
              <w:t xml:space="preserve">  政府对机关工作实施情况的具体评价，以年度政府考核结果为依据。</w:t>
            </w:r>
          </w:p>
        </w:tc>
        <w:tc>
          <w:tcPr>
            <w:tcW w:w="3036" w:type="dxa"/>
            <w:tcBorders>
              <w:top w:val="single" w:color="auto" w:sz="4" w:space="0"/>
              <w:left w:val="nil"/>
              <w:bottom w:val="single" w:color="auto" w:sz="4" w:space="0"/>
              <w:right w:val="single" w:color="auto" w:sz="4" w:space="0"/>
            </w:tcBorders>
            <w:noWrap w:val="0"/>
            <w:vAlign w:val="center"/>
          </w:tcPr>
          <w:p w14:paraId="231DB1F9">
            <w:pPr>
              <w:widowControl/>
              <w:spacing w:line="280" w:lineRule="exact"/>
              <w:jc w:val="left"/>
              <w:rPr>
                <w:rFonts w:eastAsia="仿宋" w:cs="Times New Roman"/>
                <w:kern w:val="0"/>
                <w:sz w:val="24"/>
                <w:szCs w:val="24"/>
              </w:rPr>
            </w:pPr>
            <w:r>
              <w:rPr>
                <w:rFonts w:eastAsia="仿宋" w:cs="Times New Roman"/>
                <w:kern w:val="0"/>
                <w:sz w:val="24"/>
                <w:szCs w:val="24"/>
              </w:rPr>
              <w:t>优秀计3分，良好计2分，合格计1分，不合格计0分。</w:t>
            </w:r>
          </w:p>
        </w:tc>
        <w:tc>
          <w:tcPr>
            <w:tcW w:w="726" w:type="dxa"/>
            <w:tcBorders>
              <w:top w:val="single" w:color="auto" w:sz="4" w:space="0"/>
              <w:left w:val="nil"/>
              <w:bottom w:val="single" w:color="auto" w:sz="4" w:space="0"/>
              <w:right w:val="single" w:color="auto" w:sz="4" w:space="0"/>
            </w:tcBorders>
            <w:noWrap/>
            <w:vAlign w:val="center"/>
          </w:tcPr>
          <w:p w14:paraId="12B7EA0A">
            <w:pPr>
              <w:widowControl/>
              <w:jc w:val="left"/>
              <w:rPr>
                <w:rFonts w:eastAsia="仿宋" w:cs="Times New Roman"/>
                <w:kern w:val="0"/>
                <w:sz w:val="24"/>
                <w:szCs w:val="24"/>
              </w:rPr>
            </w:pPr>
            <w:r>
              <w:rPr>
                <w:rFonts w:eastAsia="仿宋" w:cs="Times New Roman"/>
                <w:kern w:val="0"/>
                <w:sz w:val="24"/>
                <w:szCs w:val="24"/>
              </w:rPr>
              <w:t>　3</w:t>
            </w:r>
          </w:p>
        </w:tc>
      </w:tr>
      <w:tr w14:paraId="1A8A7014">
        <w:tblPrEx>
          <w:tblCellMar>
            <w:top w:w="0" w:type="dxa"/>
            <w:left w:w="108" w:type="dxa"/>
            <w:bottom w:w="0" w:type="dxa"/>
            <w:right w:w="108" w:type="dxa"/>
          </w:tblCellMar>
        </w:tblPrEx>
        <w:trPr>
          <w:trHeight w:val="2407"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06FB8410">
            <w:pPr>
              <w:widowControl/>
              <w:spacing w:line="280" w:lineRule="exact"/>
              <w:jc w:val="left"/>
              <w:rPr>
                <w:rFonts w:eastAsia="仿宋" w:cs="Times New Roman"/>
                <w:kern w:val="0"/>
                <w:sz w:val="24"/>
                <w:szCs w:val="24"/>
              </w:rPr>
            </w:pPr>
          </w:p>
        </w:tc>
        <w:tc>
          <w:tcPr>
            <w:tcW w:w="638" w:type="dxa"/>
            <w:vMerge w:val="continue"/>
            <w:tcBorders>
              <w:top w:val="single" w:color="auto" w:sz="4" w:space="0"/>
              <w:left w:val="single" w:color="auto" w:sz="4" w:space="0"/>
              <w:bottom w:val="single" w:color="auto" w:sz="4" w:space="0"/>
              <w:right w:val="single" w:color="auto" w:sz="4" w:space="0"/>
            </w:tcBorders>
            <w:noWrap w:val="0"/>
            <w:vAlign w:val="center"/>
          </w:tcPr>
          <w:p w14:paraId="5C6E6FDD">
            <w:pPr>
              <w:widowControl/>
              <w:spacing w:line="280" w:lineRule="exact"/>
              <w:jc w:val="left"/>
              <w:rPr>
                <w:rFonts w:eastAsia="仿宋" w:cs="Times New Roman"/>
                <w:kern w:val="0"/>
                <w:sz w:val="24"/>
                <w:szCs w:val="24"/>
              </w:rPr>
            </w:pPr>
          </w:p>
        </w:tc>
        <w:tc>
          <w:tcPr>
            <w:tcW w:w="548" w:type="dxa"/>
            <w:vMerge w:val="continue"/>
            <w:tcBorders>
              <w:top w:val="single" w:color="auto" w:sz="4" w:space="0"/>
              <w:left w:val="single" w:color="auto" w:sz="4" w:space="0"/>
              <w:bottom w:val="single" w:color="auto" w:sz="4" w:space="0"/>
              <w:right w:val="single" w:color="auto" w:sz="4" w:space="0"/>
            </w:tcBorders>
            <w:noWrap w:val="0"/>
            <w:vAlign w:val="center"/>
          </w:tcPr>
          <w:p w14:paraId="20B23BA3">
            <w:pPr>
              <w:widowControl/>
              <w:spacing w:line="280" w:lineRule="exact"/>
              <w:jc w:val="left"/>
              <w:rPr>
                <w:rFonts w:eastAsia="仿宋" w:cs="Times New Roman"/>
                <w:kern w:val="0"/>
                <w:sz w:val="24"/>
                <w:szCs w:val="24"/>
              </w:rPr>
            </w:pPr>
          </w:p>
        </w:tc>
        <w:tc>
          <w:tcPr>
            <w:tcW w:w="676" w:type="dxa"/>
            <w:tcBorders>
              <w:top w:val="single" w:color="auto" w:sz="4" w:space="0"/>
              <w:left w:val="nil"/>
              <w:bottom w:val="single" w:color="auto" w:sz="4" w:space="0"/>
              <w:right w:val="single" w:color="auto" w:sz="4" w:space="0"/>
            </w:tcBorders>
            <w:noWrap w:val="0"/>
            <w:vAlign w:val="center"/>
          </w:tcPr>
          <w:p w14:paraId="7F1F1745">
            <w:pPr>
              <w:widowControl/>
              <w:spacing w:line="280" w:lineRule="exact"/>
              <w:jc w:val="left"/>
              <w:rPr>
                <w:rFonts w:eastAsia="仿宋" w:cs="Times New Roman"/>
                <w:kern w:val="0"/>
                <w:sz w:val="24"/>
                <w:szCs w:val="24"/>
              </w:rPr>
            </w:pPr>
            <w:r>
              <w:rPr>
                <w:rFonts w:eastAsia="仿宋" w:cs="Times New Roman"/>
                <w:kern w:val="0"/>
                <w:sz w:val="24"/>
                <w:szCs w:val="24"/>
              </w:rPr>
              <w:t>社会公众或服务对象满意度</w:t>
            </w:r>
          </w:p>
        </w:tc>
        <w:tc>
          <w:tcPr>
            <w:tcW w:w="516" w:type="dxa"/>
            <w:tcBorders>
              <w:top w:val="single" w:color="auto" w:sz="4" w:space="0"/>
              <w:left w:val="nil"/>
              <w:bottom w:val="single" w:color="auto" w:sz="4" w:space="0"/>
              <w:right w:val="single" w:color="auto" w:sz="4" w:space="0"/>
            </w:tcBorders>
            <w:noWrap w:val="0"/>
            <w:vAlign w:val="center"/>
          </w:tcPr>
          <w:p w14:paraId="7FA208B5">
            <w:pPr>
              <w:widowControl/>
              <w:spacing w:line="280" w:lineRule="exact"/>
              <w:jc w:val="center"/>
              <w:rPr>
                <w:rFonts w:eastAsia="仿宋" w:cs="Times New Roman"/>
                <w:kern w:val="0"/>
                <w:sz w:val="24"/>
                <w:szCs w:val="24"/>
              </w:rPr>
            </w:pPr>
            <w:r>
              <w:rPr>
                <w:rFonts w:eastAsia="仿宋" w:cs="Times New Roman"/>
                <w:kern w:val="0"/>
                <w:sz w:val="24"/>
                <w:szCs w:val="24"/>
              </w:rPr>
              <w:t>5</w:t>
            </w:r>
          </w:p>
        </w:tc>
        <w:tc>
          <w:tcPr>
            <w:tcW w:w="3752" w:type="dxa"/>
            <w:tcBorders>
              <w:top w:val="single" w:color="auto" w:sz="4" w:space="0"/>
              <w:left w:val="nil"/>
              <w:bottom w:val="single" w:color="auto" w:sz="4" w:space="0"/>
              <w:right w:val="single" w:color="auto" w:sz="4" w:space="0"/>
            </w:tcBorders>
            <w:noWrap w:val="0"/>
            <w:vAlign w:val="center"/>
          </w:tcPr>
          <w:p w14:paraId="65E48237">
            <w:pPr>
              <w:widowControl/>
              <w:spacing w:line="280" w:lineRule="exact"/>
              <w:jc w:val="left"/>
              <w:rPr>
                <w:rFonts w:eastAsia="仿宋" w:cs="Times New Roman"/>
                <w:kern w:val="0"/>
                <w:sz w:val="24"/>
                <w:szCs w:val="24"/>
              </w:rPr>
            </w:pPr>
            <w:r>
              <w:rPr>
                <w:rFonts w:eastAsia="仿宋" w:cs="Times New Roman"/>
                <w:kern w:val="0"/>
                <w:sz w:val="24"/>
                <w:szCs w:val="24"/>
              </w:rPr>
              <w:t xml:space="preserve">  社会公众或部门的服务对象对部门履职效果的满意程度。</w:t>
            </w:r>
            <w:r>
              <w:rPr>
                <w:rFonts w:eastAsia="仿宋" w:cs="Times New Roman"/>
                <w:kern w:val="0"/>
                <w:sz w:val="24"/>
                <w:szCs w:val="24"/>
              </w:rPr>
              <w:br w:type="textWrapping"/>
            </w:r>
            <w:r>
              <w:rPr>
                <w:rFonts w:eastAsia="仿宋" w:cs="Times New Roman"/>
                <w:kern w:val="0"/>
                <w:sz w:val="24"/>
                <w:szCs w:val="24"/>
              </w:rPr>
              <w:t xml:space="preserve">  社会公众或服务对象是指部门履行职责而影响到的部门、群体或个人。</w:t>
            </w:r>
          </w:p>
        </w:tc>
        <w:tc>
          <w:tcPr>
            <w:tcW w:w="3036" w:type="dxa"/>
            <w:tcBorders>
              <w:top w:val="single" w:color="auto" w:sz="4" w:space="0"/>
              <w:left w:val="nil"/>
              <w:bottom w:val="single" w:color="auto" w:sz="4" w:space="0"/>
              <w:right w:val="single" w:color="auto" w:sz="4" w:space="0"/>
            </w:tcBorders>
            <w:noWrap w:val="0"/>
            <w:vAlign w:val="center"/>
          </w:tcPr>
          <w:p w14:paraId="5724876C">
            <w:pPr>
              <w:widowControl/>
              <w:spacing w:line="280" w:lineRule="exact"/>
              <w:jc w:val="left"/>
              <w:rPr>
                <w:rFonts w:eastAsia="仿宋" w:cs="Times New Roman"/>
                <w:kern w:val="0"/>
                <w:sz w:val="24"/>
                <w:szCs w:val="24"/>
              </w:rPr>
            </w:pPr>
            <w:r>
              <w:rPr>
                <w:rFonts w:eastAsia="仿宋" w:cs="Times New Roman"/>
                <w:kern w:val="0"/>
                <w:sz w:val="24"/>
                <w:szCs w:val="24"/>
              </w:rPr>
              <w:t>≥90%，得5分；</w:t>
            </w:r>
            <w:r>
              <w:rPr>
                <w:rFonts w:eastAsia="仿宋" w:cs="Times New Roman"/>
                <w:kern w:val="0"/>
                <w:sz w:val="24"/>
                <w:szCs w:val="24"/>
              </w:rPr>
              <w:br w:type="textWrapping"/>
            </w:r>
            <w:r>
              <w:rPr>
                <w:rFonts w:eastAsia="仿宋" w:cs="Times New Roman"/>
                <w:kern w:val="0"/>
                <w:sz w:val="24"/>
                <w:szCs w:val="24"/>
              </w:rPr>
              <w:t>每降低1%，扣0.5分，扣完为止。</w:t>
            </w:r>
          </w:p>
        </w:tc>
        <w:tc>
          <w:tcPr>
            <w:tcW w:w="726" w:type="dxa"/>
            <w:tcBorders>
              <w:top w:val="single" w:color="auto" w:sz="4" w:space="0"/>
              <w:left w:val="nil"/>
              <w:bottom w:val="single" w:color="auto" w:sz="4" w:space="0"/>
              <w:right w:val="single" w:color="auto" w:sz="4" w:space="0"/>
            </w:tcBorders>
            <w:noWrap/>
            <w:vAlign w:val="center"/>
          </w:tcPr>
          <w:p w14:paraId="605F721E">
            <w:pPr>
              <w:widowControl/>
              <w:jc w:val="left"/>
              <w:rPr>
                <w:rFonts w:eastAsia="仿宋" w:cs="Times New Roman"/>
                <w:kern w:val="0"/>
                <w:sz w:val="24"/>
                <w:szCs w:val="24"/>
              </w:rPr>
            </w:pPr>
            <w:r>
              <w:rPr>
                <w:rFonts w:eastAsia="仿宋" w:cs="Times New Roman"/>
                <w:kern w:val="0"/>
                <w:sz w:val="24"/>
                <w:szCs w:val="24"/>
              </w:rPr>
              <w:t>　5</w:t>
            </w:r>
          </w:p>
        </w:tc>
      </w:tr>
      <w:tr w14:paraId="115A8DC4">
        <w:tblPrEx>
          <w:tblCellMar>
            <w:top w:w="0" w:type="dxa"/>
            <w:left w:w="108" w:type="dxa"/>
            <w:bottom w:w="0" w:type="dxa"/>
            <w:right w:w="108" w:type="dxa"/>
          </w:tblCellMar>
        </w:tblPrEx>
        <w:trPr>
          <w:trHeight w:val="853" w:hRule="atLeast"/>
          <w:jc w:val="center"/>
        </w:trPr>
        <w:tc>
          <w:tcPr>
            <w:tcW w:w="1369" w:type="dxa"/>
            <w:gridSpan w:val="2"/>
            <w:tcBorders>
              <w:top w:val="single" w:color="auto" w:sz="4" w:space="0"/>
              <w:left w:val="single" w:color="auto" w:sz="4" w:space="0"/>
              <w:bottom w:val="single" w:color="auto" w:sz="4" w:space="0"/>
              <w:right w:val="single" w:color="auto" w:sz="4" w:space="0"/>
            </w:tcBorders>
            <w:noWrap w:val="0"/>
            <w:vAlign w:val="center"/>
          </w:tcPr>
          <w:p w14:paraId="4F2EF6F5">
            <w:pPr>
              <w:widowControl/>
              <w:spacing w:line="280" w:lineRule="exact"/>
              <w:jc w:val="center"/>
              <w:rPr>
                <w:rFonts w:eastAsia="仿宋" w:cs="Times New Roman"/>
                <w:b/>
                <w:bCs/>
                <w:kern w:val="0"/>
                <w:sz w:val="24"/>
                <w:szCs w:val="24"/>
              </w:rPr>
            </w:pPr>
            <w:r>
              <w:rPr>
                <w:rFonts w:eastAsia="仿宋" w:cs="Times New Roman"/>
                <w:b/>
                <w:bCs/>
                <w:kern w:val="0"/>
                <w:sz w:val="24"/>
                <w:szCs w:val="24"/>
              </w:rPr>
              <w:t>合计</w:t>
            </w:r>
          </w:p>
        </w:tc>
        <w:tc>
          <w:tcPr>
            <w:tcW w:w="548" w:type="dxa"/>
            <w:tcBorders>
              <w:top w:val="single" w:color="auto" w:sz="4" w:space="0"/>
              <w:left w:val="single" w:color="auto" w:sz="4" w:space="0"/>
              <w:bottom w:val="single" w:color="auto" w:sz="4" w:space="0"/>
              <w:right w:val="single" w:color="auto" w:sz="4" w:space="0"/>
            </w:tcBorders>
            <w:noWrap/>
            <w:vAlign w:val="center"/>
          </w:tcPr>
          <w:p w14:paraId="3EEE90DA">
            <w:pPr>
              <w:widowControl/>
              <w:spacing w:line="280" w:lineRule="exact"/>
              <w:jc w:val="center"/>
              <w:rPr>
                <w:rFonts w:eastAsia="仿宋" w:cs="Times New Roman"/>
                <w:b/>
                <w:bCs/>
                <w:kern w:val="0"/>
                <w:sz w:val="24"/>
                <w:szCs w:val="24"/>
              </w:rPr>
            </w:pPr>
            <w:r>
              <w:rPr>
                <w:rFonts w:eastAsia="仿宋" w:cs="Times New Roman"/>
                <w:b/>
                <w:bCs/>
                <w:kern w:val="0"/>
                <w:sz w:val="24"/>
                <w:szCs w:val="24"/>
              </w:rPr>
              <w:t>100</w:t>
            </w:r>
          </w:p>
        </w:tc>
        <w:tc>
          <w:tcPr>
            <w:tcW w:w="676" w:type="dxa"/>
            <w:tcBorders>
              <w:top w:val="single" w:color="auto" w:sz="4" w:space="0"/>
              <w:left w:val="single" w:color="auto" w:sz="4" w:space="0"/>
              <w:bottom w:val="single" w:color="auto" w:sz="4" w:space="0"/>
              <w:right w:val="single" w:color="auto" w:sz="4" w:space="0"/>
            </w:tcBorders>
            <w:noWrap/>
            <w:vAlign w:val="center"/>
          </w:tcPr>
          <w:p w14:paraId="6066C645">
            <w:pPr>
              <w:widowControl/>
              <w:spacing w:line="280" w:lineRule="exact"/>
              <w:jc w:val="center"/>
              <w:rPr>
                <w:rFonts w:eastAsia="仿宋" w:cs="Times New Roman"/>
                <w:b/>
                <w:bCs/>
                <w:kern w:val="0"/>
                <w:sz w:val="24"/>
                <w:szCs w:val="24"/>
              </w:rPr>
            </w:pPr>
            <w:r>
              <w:rPr>
                <w:rFonts w:eastAsia="仿宋" w:cs="Times New Roman"/>
                <w:b/>
                <w:bCs/>
                <w:kern w:val="0"/>
                <w:sz w:val="24"/>
                <w:szCs w:val="24"/>
              </w:rPr>
              <w:t>　</w:t>
            </w:r>
          </w:p>
        </w:tc>
        <w:tc>
          <w:tcPr>
            <w:tcW w:w="516" w:type="dxa"/>
            <w:tcBorders>
              <w:top w:val="single" w:color="auto" w:sz="4" w:space="0"/>
              <w:left w:val="single" w:color="auto" w:sz="4" w:space="0"/>
              <w:bottom w:val="single" w:color="auto" w:sz="4" w:space="0"/>
              <w:right w:val="single" w:color="auto" w:sz="4" w:space="0"/>
            </w:tcBorders>
            <w:noWrap w:val="0"/>
            <w:vAlign w:val="center"/>
          </w:tcPr>
          <w:p w14:paraId="37037F6D">
            <w:pPr>
              <w:widowControl/>
              <w:spacing w:line="280" w:lineRule="exact"/>
              <w:jc w:val="center"/>
              <w:rPr>
                <w:rFonts w:eastAsia="仿宋" w:cs="Times New Roman"/>
                <w:b/>
                <w:bCs/>
                <w:kern w:val="0"/>
                <w:sz w:val="24"/>
                <w:szCs w:val="24"/>
              </w:rPr>
            </w:pPr>
            <w:r>
              <w:rPr>
                <w:rFonts w:eastAsia="仿宋" w:cs="Times New Roman"/>
                <w:b/>
                <w:bCs/>
                <w:kern w:val="0"/>
                <w:sz w:val="24"/>
                <w:szCs w:val="24"/>
              </w:rPr>
              <w:t>100</w:t>
            </w:r>
          </w:p>
        </w:tc>
        <w:tc>
          <w:tcPr>
            <w:tcW w:w="3752" w:type="dxa"/>
            <w:tcBorders>
              <w:top w:val="single" w:color="auto" w:sz="4" w:space="0"/>
              <w:left w:val="single" w:color="auto" w:sz="4" w:space="0"/>
              <w:bottom w:val="single" w:color="auto" w:sz="4" w:space="0"/>
              <w:right w:val="single" w:color="auto" w:sz="4" w:space="0"/>
            </w:tcBorders>
            <w:noWrap/>
            <w:vAlign w:val="center"/>
          </w:tcPr>
          <w:p w14:paraId="0A3DE636">
            <w:pPr>
              <w:widowControl/>
              <w:spacing w:line="280" w:lineRule="exact"/>
              <w:jc w:val="left"/>
              <w:rPr>
                <w:rFonts w:eastAsia="仿宋" w:cs="Times New Roman"/>
                <w:b/>
                <w:bCs/>
                <w:kern w:val="0"/>
                <w:sz w:val="24"/>
                <w:szCs w:val="24"/>
              </w:rPr>
            </w:pPr>
            <w:r>
              <w:rPr>
                <w:rFonts w:eastAsia="仿宋" w:cs="Times New Roman"/>
                <w:b/>
                <w:bCs/>
                <w:kern w:val="0"/>
                <w:sz w:val="24"/>
                <w:szCs w:val="24"/>
              </w:rPr>
              <w:t>　</w:t>
            </w:r>
          </w:p>
        </w:tc>
        <w:tc>
          <w:tcPr>
            <w:tcW w:w="3036" w:type="dxa"/>
            <w:tcBorders>
              <w:top w:val="single" w:color="auto" w:sz="4" w:space="0"/>
              <w:left w:val="single" w:color="auto" w:sz="4" w:space="0"/>
              <w:bottom w:val="single" w:color="auto" w:sz="4" w:space="0"/>
              <w:right w:val="single" w:color="auto" w:sz="4" w:space="0"/>
            </w:tcBorders>
            <w:noWrap/>
            <w:vAlign w:val="center"/>
          </w:tcPr>
          <w:p w14:paraId="2D4F4220">
            <w:pPr>
              <w:widowControl/>
              <w:spacing w:line="280" w:lineRule="exact"/>
              <w:jc w:val="left"/>
              <w:rPr>
                <w:rFonts w:eastAsia="仿宋" w:cs="Times New Roman"/>
                <w:b/>
                <w:bCs/>
                <w:kern w:val="0"/>
                <w:sz w:val="24"/>
                <w:szCs w:val="24"/>
              </w:rPr>
            </w:pPr>
            <w:r>
              <w:rPr>
                <w:rFonts w:eastAsia="仿宋" w:cs="Times New Roman"/>
                <w:b/>
                <w:bCs/>
                <w:kern w:val="0"/>
                <w:sz w:val="24"/>
                <w:szCs w:val="24"/>
              </w:rPr>
              <w:t>　</w:t>
            </w:r>
          </w:p>
        </w:tc>
        <w:tc>
          <w:tcPr>
            <w:tcW w:w="726" w:type="dxa"/>
            <w:tcBorders>
              <w:top w:val="single" w:color="auto" w:sz="4" w:space="0"/>
              <w:left w:val="single" w:color="auto" w:sz="4" w:space="0"/>
              <w:bottom w:val="single" w:color="auto" w:sz="4" w:space="0"/>
              <w:right w:val="single" w:color="auto" w:sz="4" w:space="0"/>
            </w:tcBorders>
            <w:noWrap/>
            <w:vAlign w:val="center"/>
          </w:tcPr>
          <w:p w14:paraId="54B4828D">
            <w:pPr>
              <w:widowControl/>
              <w:jc w:val="center"/>
              <w:rPr>
                <w:rFonts w:hint="default" w:eastAsia="仿宋" w:cs="Times New Roman"/>
                <w:b/>
                <w:bCs/>
                <w:kern w:val="0"/>
                <w:sz w:val="24"/>
                <w:szCs w:val="24"/>
                <w:lang w:val="en-US" w:eastAsia="zh-CN"/>
              </w:rPr>
            </w:pPr>
            <w:r>
              <w:rPr>
                <w:rFonts w:hint="eastAsia" w:eastAsia="仿宋" w:cs="Times New Roman"/>
                <w:b/>
                <w:bCs/>
                <w:kern w:val="0"/>
                <w:sz w:val="24"/>
                <w:szCs w:val="24"/>
                <w:lang w:val="en-US" w:eastAsia="zh-CN"/>
              </w:rPr>
              <w:t>95</w:t>
            </w:r>
          </w:p>
        </w:tc>
      </w:tr>
    </w:tbl>
    <w:p w14:paraId="6ABF11D0">
      <w:pPr>
        <w:widowControl/>
        <w:ind w:firstLine="480" w:firstLineChars="200"/>
        <w:jc w:val="left"/>
        <w:rPr>
          <w:rFonts w:cs="Times New Roman"/>
          <w:color w:val="000000"/>
          <w:sz w:val="24"/>
          <w:szCs w:val="24"/>
        </w:rPr>
      </w:pPr>
    </w:p>
    <w:p w14:paraId="3CFEDE2E">
      <w:pPr>
        <w:spacing w:line="520" w:lineRule="exact"/>
        <w:ind w:left="1" w:leftChars="-202" w:hanging="425" w:hangingChars="133"/>
        <w:rPr>
          <w:rFonts w:hint="eastAsia" w:eastAsia="黑体" w:cs="Times New Roman"/>
          <w:bCs/>
          <w:color w:val="000000"/>
          <w:kern w:val="0"/>
          <w:sz w:val="32"/>
          <w:szCs w:val="32"/>
          <w:lang w:bidi="ar"/>
        </w:rPr>
      </w:pPr>
    </w:p>
    <w:p w14:paraId="2F8946D6">
      <w:pPr>
        <w:spacing w:line="520" w:lineRule="exact"/>
        <w:ind w:left="1" w:leftChars="-202" w:hanging="425" w:hangingChars="133"/>
        <w:rPr>
          <w:rFonts w:hint="eastAsia" w:eastAsia="黑体" w:cs="Times New Roman"/>
          <w:bCs/>
          <w:color w:val="000000"/>
          <w:kern w:val="0"/>
          <w:sz w:val="32"/>
          <w:szCs w:val="32"/>
          <w:lang w:bidi="ar"/>
        </w:rPr>
      </w:pPr>
    </w:p>
    <w:p w14:paraId="74130D84">
      <w:pPr>
        <w:spacing w:line="520" w:lineRule="exact"/>
        <w:ind w:left="1" w:leftChars="-202" w:hanging="425" w:hangingChars="133"/>
        <w:rPr>
          <w:rFonts w:hint="eastAsia" w:eastAsia="黑体" w:cs="Times New Roman"/>
          <w:bCs/>
          <w:color w:val="000000"/>
          <w:kern w:val="0"/>
          <w:sz w:val="32"/>
          <w:szCs w:val="32"/>
          <w:lang w:bidi="ar"/>
        </w:rPr>
      </w:pPr>
    </w:p>
    <w:p w14:paraId="5B827B69">
      <w:pPr>
        <w:spacing w:line="520" w:lineRule="exact"/>
        <w:ind w:left="1" w:leftChars="-202" w:hanging="425" w:hangingChars="133"/>
        <w:rPr>
          <w:rFonts w:hint="eastAsia" w:eastAsia="黑体" w:cs="Times New Roman"/>
          <w:bCs/>
          <w:color w:val="000000"/>
          <w:kern w:val="0"/>
          <w:sz w:val="32"/>
          <w:szCs w:val="32"/>
          <w:lang w:bidi="ar"/>
        </w:rPr>
      </w:pPr>
    </w:p>
    <w:p w14:paraId="20F02A3F">
      <w:pPr>
        <w:spacing w:line="520" w:lineRule="exact"/>
        <w:ind w:left="1" w:leftChars="-202" w:hanging="425" w:hangingChars="133"/>
        <w:rPr>
          <w:rFonts w:hint="eastAsia" w:eastAsia="黑体" w:cs="Times New Roman"/>
          <w:bCs/>
          <w:color w:val="000000"/>
          <w:kern w:val="0"/>
          <w:sz w:val="32"/>
          <w:szCs w:val="32"/>
          <w:lang w:bidi="ar"/>
        </w:rPr>
      </w:pPr>
    </w:p>
    <w:p w14:paraId="4892E218">
      <w:pPr>
        <w:spacing w:line="520" w:lineRule="exact"/>
        <w:ind w:left="1" w:leftChars="-202" w:hanging="425" w:hangingChars="133"/>
        <w:rPr>
          <w:rFonts w:hint="eastAsia" w:eastAsia="黑体" w:cs="Times New Roman"/>
          <w:bCs/>
          <w:color w:val="000000"/>
          <w:kern w:val="0"/>
          <w:sz w:val="32"/>
          <w:szCs w:val="32"/>
          <w:lang w:bidi="ar"/>
        </w:rPr>
      </w:pPr>
    </w:p>
    <w:p w14:paraId="4816BEF7">
      <w:pPr>
        <w:spacing w:line="520" w:lineRule="exact"/>
        <w:ind w:left="1" w:leftChars="-202" w:hanging="425" w:hangingChars="133"/>
        <w:rPr>
          <w:rFonts w:hint="eastAsia" w:eastAsia="黑体" w:cs="Times New Roman"/>
          <w:bCs/>
          <w:color w:val="000000"/>
          <w:kern w:val="0"/>
          <w:sz w:val="32"/>
          <w:szCs w:val="32"/>
          <w:lang w:bidi="ar"/>
        </w:rPr>
      </w:pPr>
    </w:p>
    <w:p w14:paraId="499DB285">
      <w:pPr>
        <w:spacing w:line="520" w:lineRule="exact"/>
        <w:ind w:left="1" w:leftChars="-202" w:hanging="425" w:hangingChars="133"/>
        <w:rPr>
          <w:rFonts w:hint="eastAsia" w:eastAsia="黑体" w:cs="Times New Roman"/>
          <w:bCs/>
          <w:color w:val="000000"/>
          <w:kern w:val="0"/>
          <w:sz w:val="32"/>
          <w:szCs w:val="32"/>
          <w:lang w:bidi="ar"/>
        </w:rPr>
      </w:pPr>
    </w:p>
    <w:p w14:paraId="161FD507">
      <w:pPr>
        <w:spacing w:line="520" w:lineRule="exact"/>
        <w:ind w:left="1" w:leftChars="-202" w:hanging="425" w:hangingChars="133"/>
        <w:rPr>
          <w:rFonts w:hint="eastAsia" w:eastAsia="黑体" w:cs="Times New Roman"/>
          <w:bCs/>
          <w:color w:val="000000"/>
          <w:kern w:val="0"/>
          <w:sz w:val="32"/>
          <w:szCs w:val="32"/>
          <w:lang w:bidi="ar"/>
        </w:rPr>
      </w:pPr>
    </w:p>
    <w:p w14:paraId="6ED004CE">
      <w:pPr>
        <w:spacing w:line="520" w:lineRule="exact"/>
        <w:ind w:left="1" w:leftChars="-202" w:hanging="425" w:hangingChars="133"/>
        <w:rPr>
          <w:rFonts w:hint="eastAsia" w:eastAsia="黑体" w:cs="Times New Roman"/>
          <w:bCs/>
          <w:color w:val="000000"/>
          <w:kern w:val="0"/>
          <w:sz w:val="32"/>
          <w:szCs w:val="32"/>
          <w:lang w:bidi="ar"/>
        </w:rPr>
      </w:pPr>
    </w:p>
    <w:p w14:paraId="4191756B">
      <w:pPr>
        <w:spacing w:line="520" w:lineRule="exact"/>
        <w:ind w:left="1" w:leftChars="-202" w:hanging="425" w:hangingChars="133"/>
        <w:rPr>
          <w:rFonts w:hint="eastAsia" w:eastAsia="黑体" w:cs="Times New Roman"/>
          <w:bCs/>
          <w:color w:val="000000"/>
          <w:kern w:val="0"/>
          <w:sz w:val="32"/>
          <w:szCs w:val="32"/>
          <w:lang w:bidi="ar"/>
        </w:rPr>
      </w:pPr>
    </w:p>
    <w:p w14:paraId="5EF3222F">
      <w:pPr>
        <w:spacing w:line="520" w:lineRule="exact"/>
        <w:ind w:left="1" w:leftChars="-202" w:hanging="425" w:hangingChars="133"/>
        <w:rPr>
          <w:rFonts w:hint="eastAsia" w:eastAsia="黑体" w:cs="Times New Roman"/>
          <w:bCs/>
          <w:color w:val="000000"/>
          <w:kern w:val="0"/>
          <w:sz w:val="32"/>
          <w:szCs w:val="32"/>
          <w:lang w:bidi="ar"/>
        </w:rPr>
      </w:pPr>
    </w:p>
    <w:p w14:paraId="2BCAAC35">
      <w:pPr>
        <w:spacing w:line="520" w:lineRule="exact"/>
        <w:ind w:left="1" w:leftChars="-202" w:hanging="425" w:hangingChars="133"/>
        <w:rPr>
          <w:rFonts w:hint="eastAsia" w:eastAsia="黑体" w:cs="Times New Roman"/>
          <w:bCs/>
          <w:color w:val="000000"/>
          <w:kern w:val="0"/>
          <w:sz w:val="32"/>
          <w:szCs w:val="32"/>
          <w:lang w:bidi="ar"/>
        </w:rPr>
      </w:pPr>
    </w:p>
    <w:p w14:paraId="503E387A">
      <w:pPr>
        <w:spacing w:line="520" w:lineRule="exact"/>
        <w:ind w:left="1" w:leftChars="-202" w:hanging="425" w:hangingChars="133"/>
        <w:rPr>
          <w:rFonts w:hint="eastAsia" w:eastAsia="黑体" w:cs="Times New Roman"/>
          <w:bCs/>
          <w:color w:val="000000"/>
          <w:kern w:val="0"/>
          <w:sz w:val="32"/>
          <w:szCs w:val="32"/>
          <w:lang w:bidi="ar"/>
        </w:rPr>
      </w:pPr>
    </w:p>
    <w:p w14:paraId="38AF2A5B">
      <w:pPr>
        <w:spacing w:line="520" w:lineRule="exact"/>
        <w:ind w:left="1" w:leftChars="-202" w:hanging="425" w:hangingChars="133"/>
        <w:rPr>
          <w:rFonts w:hint="eastAsia" w:eastAsia="黑体" w:cs="Times New Roman"/>
          <w:bCs/>
          <w:color w:val="000000"/>
          <w:kern w:val="0"/>
          <w:sz w:val="32"/>
          <w:szCs w:val="32"/>
          <w:lang w:bidi="ar"/>
        </w:rPr>
      </w:pPr>
    </w:p>
    <w:p w14:paraId="72B29884">
      <w:pPr>
        <w:spacing w:line="520" w:lineRule="exact"/>
        <w:ind w:left="1" w:leftChars="-202" w:hanging="425" w:hangingChars="133"/>
        <w:rPr>
          <w:rFonts w:eastAsia="黑体" w:cs="Times New Roman"/>
          <w:bCs/>
          <w:color w:val="000000"/>
          <w:kern w:val="0"/>
          <w:sz w:val="32"/>
          <w:szCs w:val="32"/>
          <w:lang w:bidi="ar"/>
        </w:rPr>
      </w:pPr>
      <w:r>
        <w:rPr>
          <w:rFonts w:eastAsia="黑体" w:cs="Times New Roman"/>
          <w:bCs/>
          <w:color w:val="000000"/>
          <w:kern w:val="0"/>
          <w:sz w:val="32"/>
          <w:szCs w:val="32"/>
          <w:lang w:bidi="ar"/>
        </w:rPr>
        <w:t>附件2</w:t>
      </w:r>
    </w:p>
    <w:p w14:paraId="58367537">
      <w:pPr>
        <w:spacing w:line="520" w:lineRule="exact"/>
        <w:jc w:val="center"/>
        <w:rPr>
          <w:rFonts w:eastAsia="方正小标宋简体" w:cs="Times New Roman"/>
          <w:bCs/>
          <w:color w:val="000000"/>
          <w:kern w:val="0"/>
          <w:sz w:val="44"/>
          <w:szCs w:val="44"/>
          <w:lang w:bidi="ar"/>
        </w:rPr>
      </w:pPr>
    </w:p>
    <w:p w14:paraId="7F89C7D4">
      <w:pPr>
        <w:spacing w:line="520" w:lineRule="exact"/>
        <w:jc w:val="center"/>
        <w:rPr>
          <w:rFonts w:eastAsia="仿宋" w:cs="Times New Roman"/>
          <w:sz w:val="32"/>
          <w:szCs w:val="32"/>
        </w:rPr>
      </w:pPr>
      <w:r>
        <w:rPr>
          <w:rFonts w:eastAsia="方正小标宋简体" w:cs="Times New Roman"/>
          <w:bCs/>
          <w:color w:val="000000"/>
          <w:kern w:val="0"/>
          <w:sz w:val="44"/>
          <w:szCs w:val="44"/>
          <w:lang w:bidi="ar"/>
        </w:rPr>
        <w:t>部门整体支出绩效评价基础数据表</w:t>
      </w:r>
    </w:p>
    <w:p w14:paraId="688913BB">
      <w:pPr>
        <w:widowControl/>
        <w:spacing w:line="560" w:lineRule="exact"/>
        <w:rPr>
          <w:rFonts w:eastAsia="仿宋_GB2312" w:cs="Times New Roman"/>
          <w:bCs/>
          <w:color w:val="000000"/>
          <w:sz w:val="32"/>
          <w:szCs w:val="32"/>
        </w:rPr>
      </w:pPr>
    </w:p>
    <w:tbl>
      <w:tblPr>
        <w:tblStyle w:val="17"/>
        <w:tblW w:w="9786" w:type="dxa"/>
        <w:jc w:val="center"/>
        <w:tblLayout w:type="fixed"/>
        <w:tblCellMar>
          <w:top w:w="0" w:type="dxa"/>
          <w:left w:w="108" w:type="dxa"/>
          <w:bottom w:w="0" w:type="dxa"/>
          <w:right w:w="108" w:type="dxa"/>
        </w:tblCellMar>
      </w:tblPr>
      <w:tblGrid>
        <w:gridCol w:w="3036"/>
        <w:gridCol w:w="1818"/>
        <w:gridCol w:w="930"/>
        <w:gridCol w:w="733"/>
        <w:gridCol w:w="1081"/>
        <w:gridCol w:w="569"/>
        <w:gridCol w:w="900"/>
        <w:gridCol w:w="719"/>
      </w:tblGrid>
      <w:tr w14:paraId="1AD6F039">
        <w:tblPrEx>
          <w:tblCellMar>
            <w:top w:w="0" w:type="dxa"/>
            <w:left w:w="108" w:type="dxa"/>
            <w:bottom w:w="0" w:type="dxa"/>
            <w:right w:w="108" w:type="dxa"/>
          </w:tblCellMar>
        </w:tblPrEx>
        <w:trPr>
          <w:trHeight w:val="460" w:hRule="atLeast"/>
          <w:jc w:val="center"/>
        </w:trPr>
        <w:tc>
          <w:tcPr>
            <w:tcW w:w="5784" w:type="dxa"/>
            <w:gridSpan w:val="3"/>
            <w:tcBorders>
              <w:top w:val="nil"/>
              <w:left w:val="nil"/>
              <w:bottom w:val="single" w:color="000000" w:sz="4" w:space="0"/>
              <w:right w:val="nil"/>
            </w:tcBorders>
            <w:noWrap w:val="0"/>
            <w:vAlign w:val="center"/>
          </w:tcPr>
          <w:p w14:paraId="1EC64F23">
            <w:pPr>
              <w:widowControl/>
              <w:jc w:val="left"/>
              <w:textAlignment w:val="center"/>
              <w:rPr>
                <w:rFonts w:eastAsia="楷体" w:cs="Times New Roman"/>
                <w:color w:val="000000"/>
                <w:sz w:val="30"/>
                <w:szCs w:val="30"/>
              </w:rPr>
            </w:pPr>
            <w:r>
              <w:rPr>
                <w:rFonts w:eastAsia="楷体" w:cs="Times New Roman"/>
                <w:color w:val="000000"/>
                <w:kern w:val="0"/>
                <w:sz w:val="30"/>
                <w:szCs w:val="30"/>
                <w:lang w:bidi="ar"/>
              </w:rPr>
              <w:t>单位名称：武陵区人大</w:t>
            </w:r>
          </w:p>
        </w:tc>
        <w:tc>
          <w:tcPr>
            <w:tcW w:w="733" w:type="dxa"/>
            <w:tcBorders>
              <w:top w:val="nil"/>
              <w:left w:val="nil"/>
              <w:bottom w:val="nil"/>
              <w:right w:val="nil"/>
            </w:tcBorders>
            <w:noWrap w:val="0"/>
            <w:vAlign w:val="center"/>
          </w:tcPr>
          <w:p w14:paraId="504F75DA">
            <w:pPr>
              <w:jc w:val="center"/>
              <w:rPr>
                <w:rFonts w:eastAsia="楷体" w:cs="Times New Roman"/>
                <w:color w:val="000000"/>
                <w:sz w:val="30"/>
                <w:szCs w:val="30"/>
              </w:rPr>
            </w:pPr>
          </w:p>
        </w:tc>
        <w:tc>
          <w:tcPr>
            <w:tcW w:w="3269" w:type="dxa"/>
            <w:gridSpan w:val="4"/>
            <w:tcBorders>
              <w:top w:val="nil"/>
              <w:left w:val="nil"/>
              <w:bottom w:val="nil"/>
            </w:tcBorders>
            <w:noWrap w:val="0"/>
            <w:vAlign w:val="center"/>
          </w:tcPr>
          <w:p w14:paraId="2CFCC073">
            <w:pPr>
              <w:widowControl/>
              <w:textAlignment w:val="center"/>
              <w:rPr>
                <w:rFonts w:eastAsia="楷体" w:cs="Times New Roman"/>
                <w:color w:val="000000"/>
                <w:sz w:val="30"/>
                <w:szCs w:val="30"/>
              </w:rPr>
            </w:pPr>
            <w:r>
              <w:rPr>
                <w:rFonts w:eastAsia="楷体" w:cs="Times New Roman"/>
                <w:color w:val="000000"/>
                <w:kern w:val="0"/>
                <w:sz w:val="30"/>
                <w:szCs w:val="30"/>
                <w:lang w:bidi="ar"/>
              </w:rPr>
              <w:t>金额单位</w:t>
            </w:r>
            <w:r>
              <w:rPr>
                <w:rStyle w:val="135"/>
                <w:rFonts w:eastAsia="楷体"/>
                <w:sz w:val="30"/>
                <w:szCs w:val="30"/>
                <w:lang w:bidi="ar"/>
              </w:rPr>
              <w:t>:</w:t>
            </w:r>
            <w:r>
              <w:rPr>
                <w:rStyle w:val="136"/>
                <w:rFonts w:hint="default" w:ascii="Times New Roman" w:hAnsi="Times New Roman" w:eastAsia="楷体" w:cs="Times New Roman"/>
                <w:sz w:val="30"/>
                <w:szCs w:val="30"/>
                <w:lang w:bidi="ar"/>
              </w:rPr>
              <w:t>万元</w:t>
            </w:r>
          </w:p>
        </w:tc>
      </w:tr>
      <w:tr w14:paraId="7F7AB772">
        <w:tblPrEx>
          <w:tblCellMar>
            <w:top w:w="0" w:type="dxa"/>
            <w:left w:w="108" w:type="dxa"/>
            <w:bottom w:w="0" w:type="dxa"/>
            <w:right w:w="108" w:type="dxa"/>
          </w:tblCellMar>
        </w:tblPrEx>
        <w:trPr>
          <w:trHeight w:val="36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7364298E">
            <w:pPr>
              <w:widowControl/>
              <w:spacing w:line="500" w:lineRule="exact"/>
              <w:jc w:val="center"/>
              <w:textAlignment w:val="center"/>
              <w:rPr>
                <w:rFonts w:eastAsia="仿宋" w:cs="Times New Roman"/>
                <w:b/>
                <w:bCs/>
                <w:color w:val="000000"/>
                <w:sz w:val="22"/>
                <w:szCs w:val="22"/>
              </w:rPr>
            </w:pPr>
            <w:r>
              <w:rPr>
                <w:rFonts w:eastAsia="仿宋" w:cs="Times New Roman"/>
                <w:b/>
                <w:bCs/>
                <w:color w:val="000000"/>
                <w:kern w:val="0"/>
                <w:sz w:val="22"/>
                <w:szCs w:val="22"/>
                <w:lang w:bidi="ar"/>
              </w:rPr>
              <w:t>项目</w:t>
            </w:r>
          </w:p>
        </w:tc>
        <w:tc>
          <w:tcPr>
            <w:tcW w:w="2748" w:type="dxa"/>
            <w:gridSpan w:val="2"/>
            <w:tcBorders>
              <w:top w:val="single" w:color="000000" w:sz="4" w:space="0"/>
              <w:left w:val="single" w:color="000000" w:sz="4" w:space="0"/>
              <w:bottom w:val="single" w:color="000000" w:sz="4" w:space="0"/>
              <w:right w:val="single" w:color="000000" w:sz="4" w:space="0"/>
            </w:tcBorders>
            <w:noWrap w:val="0"/>
            <w:vAlign w:val="center"/>
          </w:tcPr>
          <w:p w14:paraId="73E9D5AF">
            <w:pPr>
              <w:widowControl/>
              <w:spacing w:line="500" w:lineRule="exact"/>
              <w:jc w:val="center"/>
              <w:textAlignment w:val="center"/>
              <w:rPr>
                <w:rFonts w:cs="Times New Roman"/>
                <w:b/>
                <w:bCs/>
                <w:color w:val="000000"/>
                <w:sz w:val="22"/>
                <w:szCs w:val="22"/>
              </w:rPr>
            </w:pPr>
            <w:r>
              <w:rPr>
                <w:rFonts w:cs="Times New Roman"/>
                <w:b/>
                <w:bCs/>
                <w:color w:val="000000"/>
                <w:kern w:val="0"/>
                <w:sz w:val="22"/>
                <w:szCs w:val="22"/>
                <w:lang w:bidi="ar"/>
              </w:rPr>
              <w:t>202</w:t>
            </w:r>
            <w:r>
              <w:rPr>
                <w:rFonts w:hint="eastAsia" w:cs="Times New Roman"/>
                <w:b/>
                <w:bCs/>
                <w:color w:val="000000"/>
                <w:kern w:val="0"/>
                <w:sz w:val="22"/>
                <w:szCs w:val="22"/>
                <w:lang w:val="en-US" w:eastAsia="zh-CN" w:bidi="ar"/>
              </w:rPr>
              <w:t>5</w:t>
            </w:r>
            <w:r>
              <w:rPr>
                <w:rStyle w:val="137"/>
                <w:rFonts w:hint="default" w:ascii="Times New Roman" w:hAnsi="Times New Roman" w:cs="Times New Roman"/>
                <w:lang w:bidi="ar"/>
              </w:rPr>
              <w:t>年编制数</w:t>
            </w:r>
          </w:p>
        </w:tc>
        <w:tc>
          <w:tcPr>
            <w:tcW w:w="2383" w:type="dxa"/>
            <w:gridSpan w:val="3"/>
            <w:tcBorders>
              <w:top w:val="single" w:color="000000" w:sz="4" w:space="0"/>
              <w:left w:val="single" w:color="000000" w:sz="4" w:space="0"/>
              <w:bottom w:val="single" w:color="000000" w:sz="4" w:space="0"/>
              <w:right w:val="single" w:color="000000" w:sz="4" w:space="0"/>
            </w:tcBorders>
            <w:noWrap w:val="0"/>
            <w:vAlign w:val="center"/>
          </w:tcPr>
          <w:p w14:paraId="2DEFB3EE">
            <w:pPr>
              <w:widowControl/>
              <w:spacing w:line="500" w:lineRule="exact"/>
              <w:jc w:val="center"/>
              <w:textAlignment w:val="center"/>
              <w:rPr>
                <w:rFonts w:cs="Times New Roman"/>
                <w:b/>
                <w:bCs/>
                <w:color w:val="000000"/>
                <w:sz w:val="22"/>
                <w:szCs w:val="22"/>
              </w:rPr>
            </w:pPr>
            <w:r>
              <w:rPr>
                <w:rFonts w:cs="Times New Roman"/>
                <w:b/>
                <w:bCs/>
                <w:color w:val="000000"/>
                <w:kern w:val="0"/>
                <w:sz w:val="22"/>
                <w:szCs w:val="22"/>
                <w:lang w:bidi="ar"/>
              </w:rPr>
              <w:t>202</w:t>
            </w:r>
            <w:r>
              <w:rPr>
                <w:rFonts w:hint="eastAsia" w:cs="Times New Roman"/>
                <w:b/>
                <w:bCs/>
                <w:color w:val="000000"/>
                <w:kern w:val="0"/>
                <w:sz w:val="22"/>
                <w:szCs w:val="22"/>
                <w:lang w:val="en-US" w:eastAsia="zh-CN" w:bidi="ar"/>
              </w:rPr>
              <w:t>5</w:t>
            </w:r>
            <w:r>
              <w:rPr>
                <w:rStyle w:val="137"/>
                <w:rFonts w:hint="default" w:ascii="Times New Roman" w:hAnsi="Times New Roman" w:cs="Times New Roman"/>
                <w:lang w:bidi="ar"/>
              </w:rPr>
              <w:t>年实际在职人数</w:t>
            </w: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65DCF86A">
            <w:pPr>
              <w:widowControl/>
              <w:spacing w:line="500" w:lineRule="exact"/>
              <w:jc w:val="center"/>
              <w:textAlignment w:val="center"/>
              <w:rPr>
                <w:rFonts w:cs="Times New Roman"/>
                <w:b/>
                <w:bCs/>
                <w:color w:val="000000"/>
                <w:sz w:val="22"/>
                <w:szCs w:val="22"/>
              </w:rPr>
            </w:pPr>
            <w:r>
              <w:rPr>
                <w:rFonts w:cs="Times New Roman"/>
                <w:b/>
                <w:bCs/>
                <w:color w:val="000000"/>
                <w:kern w:val="0"/>
                <w:sz w:val="22"/>
                <w:szCs w:val="22"/>
                <w:lang w:bidi="ar"/>
              </w:rPr>
              <w:t>控制率</w:t>
            </w:r>
          </w:p>
        </w:tc>
      </w:tr>
      <w:tr w14:paraId="2D665756">
        <w:tblPrEx>
          <w:tblCellMar>
            <w:top w:w="0" w:type="dxa"/>
            <w:left w:w="108" w:type="dxa"/>
            <w:bottom w:w="0" w:type="dxa"/>
            <w:right w:w="108" w:type="dxa"/>
          </w:tblCellMar>
        </w:tblPrEx>
        <w:trPr>
          <w:trHeight w:val="4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3DCFF724">
            <w:pPr>
              <w:widowControl/>
              <w:spacing w:line="500" w:lineRule="exact"/>
              <w:jc w:val="center"/>
              <w:textAlignment w:val="center"/>
              <w:rPr>
                <w:rFonts w:eastAsia="仿宋" w:cs="Times New Roman"/>
                <w:b/>
                <w:bCs/>
                <w:color w:val="000000"/>
                <w:sz w:val="22"/>
                <w:szCs w:val="22"/>
              </w:rPr>
            </w:pPr>
            <w:r>
              <w:rPr>
                <w:rFonts w:eastAsia="仿宋" w:cs="Times New Roman"/>
                <w:b/>
                <w:bCs/>
                <w:color w:val="000000"/>
                <w:kern w:val="0"/>
                <w:sz w:val="22"/>
                <w:szCs w:val="22"/>
                <w:lang w:bidi="ar"/>
              </w:rPr>
              <w:t>财政供养人员情况</w:t>
            </w:r>
          </w:p>
        </w:tc>
        <w:tc>
          <w:tcPr>
            <w:tcW w:w="2748" w:type="dxa"/>
            <w:gridSpan w:val="2"/>
            <w:tcBorders>
              <w:top w:val="single" w:color="000000" w:sz="4" w:space="0"/>
              <w:left w:val="single" w:color="000000" w:sz="4" w:space="0"/>
              <w:bottom w:val="single" w:color="000000" w:sz="4" w:space="0"/>
              <w:right w:val="single" w:color="000000" w:sz="4" w:space="0"/>
            </w:tcBorders>
            <w:noWrap w:val="0"/>
            <w:vAlign w:val="center"/>
          </w:tcPr>
          <w:p w14:paraId="112F95BD">
            <w:pPr>
              <w:widowControl/>
              <w:spacing w:line="500" w:lineRule="exact"/>
              <w:jc w:val="center"/>
              <w:textAlignment w:val="center"/>
              <w:rPr>
                <w:rFonts w:cs="Times New Roman"/>
                <w:color w:val="000000"/>
                <w:sz w:val="22"/>
                <w:szCs w:val="22"/>
              </w:rPr>
            </w:pPr>
            <w:r>
              <w:rPr>
                <w:rFonts w:cs="Times New Roman"/>
                <w:color w:val="000000"/>
                <w:kern w:val="0"/>
                <w:sz w:val="22"/>
                <w:szCs w:val="22"/>
                <w:lang w:bidi="ar"/>
              </w:rPr>
              <w:t>40</w:t>
            </w:r>
          </w:p>
        </w:tc>
        <w:tc>
          <w:tcPr>
            <w:tcW w:w="2383" w:type="dxa"/>
            <w:gridSpan w:val="3"/>
            <w:tcBorders>
              <w:top w:val="single" w:color="000000" w:sz="4" w:space="0"/>
              <w:left w:val="single" w:color="000000" w:sz="4" w:space="0"/>
              <w:bottom w:val="single" w:color="000000" w:sz="4" w:space="0"/>
              <w:right w:val="single" w:color="000000" w:sz="4" w:space="0"/>
            </w:tcBorders>
            <w:noWrap w:val="0"/>
            <w:vAlign w:val="center"/>
          </w:tcPr>
          <w:p w14:paraId="0F5E1BC6">
            <w:pPr>
              <w:widowControl/>
              <w:spacing w:line="500" w:lineRule="exact"/>
              <w:jc w:val="center"/>
              <w:textAlignment w:val="center"/>
              <w:rPr>
                <w:rFonts w:cs="Times New Roman"/>
                <w:color w:val="000000"/>
                <w:sz w:val="22"/>
                <w:szCs w:val="22"/>
              </w:rPr>
            </w:pPr>
            <w:r>
              <w:rPr>
                <w:rFonts w:cs="Times New Roman"/>
                <w:color w:val="000000"/>
                <w:kern w:val="0"/>
                <w:sz w:val="22"/>
                <w:szCs w:val="22"/>
                <w:lang w:bidi="ar"/>
              </w:rPr>
              <w:t>40</w:t>
            </w: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6F980766">
            <w:pPr>
              <w:widowControl/>
              <w:spacing w:line="500" w:lineRule="exact"/>
              <w:jc w:val="center"/>
              <w:textAlignment w:val="center"/>
              <w:rPr>
                <w:rFonts w:cs="Times New Roman"/>
                <w:color w:val="000000"/>
                <w:sz w:val="22"/>
                <w:szCs w:val="22"/>
              </w:rPr>
            </w:pPr>
            <w:r>
              <w:rPr>
                <w:rFonts w:cs="Times New Roman"/>
                <w:color w:val="000000"/>
                <w:kern w:val="0"/>
                <w:sz w:val="22"/>
                <w:szCs w:val="22"/>
                <w:lang w:bidi="ar"/>
              </w:rPr>
              <w:t>100%</w:t>
            </w:r>
          </w:p>
        </w:tc>
      </w:tr>
      <w:tr w14:paraId="37D24200">
        <w:tblPrEx>
          <w:tblCellMar>
            <w:top w:w="0" w:type="dxa"/>
            <w:left w:w="108" w:type="dxa"/>
            <w:bottom w:w="0" w:type="dxa"/>
            <w:right w:w="108" w:type="dxa"/>
          </w:tblCellMar>
        </w:tblPrEx>
        <w:trPr>
          <w:trHeight w:val="312"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5D224AA3">
            <w:pPr>
              <w:widowControl/>
              <w:spacing w:line="500" w:lineRule="exact"/>
              <w:jc w:val="center"/>
              <w:textAlignment w:val="center"/>
              <w:rPr>
                <w:rFonts w:eastAsia="仿宋" w:cs="Times New Roman"/>
                <w:b/>
                <w:bCs/>
                <w:color w:val="000000"/>
                <w:sz w:val="22"/>
                <w:szCs w:val="22"/>
              </w:rPr>
            </w:pPr>
            <w:r>
              <w:rPr>
                <w:rFonts w:eastAsia="仿宋" w:cs="Times New Roman"/>
                <w:b/>
                <w:bCs/>
                <w:color w:val="000000"/>
                <w:kern w:val="0"/>
                <w:sz w:val="22"/>
                <w:szCs w:val="22"/>
                <w:lang w:bidi="ar"/>
              </w:rPr>
              <w:t>经费控制情况</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351D66DB">
            <w:pPr>
              <w:widowControl/>
              <w:spacing w:line="500" w:lineRule="exact"/>
              <w:jc w:val="center"/>
              <w:textAlignment w:val="center"/>
              <w:rPr>
                <w:rFonts w:cs="Times New Roman"/>
                <w:color w:val="000000"/>
                <w:sz w:val="22"/>
                <w:szCs w:val="22"/>
              </w:rPr>
            </w:pPr>
            <w:r>
              <w:rPr>
                <w:rFonts w:cs="Times New Roman"/>
                <w:color w:val="000000"/>
                <w:kern w:val="0"/>
                <w:sz w:val="22"/>
                <w:szCs w:val="22"/>
                <w:lang w:bidi="ar"/>
              </w:rPr>
              <w:t>202</w:t>
            </w:r>
            <w:r>
              <w:rPr>
                <w:rFonts w:hint="eastAsia" w:cs="Times New Roman"/>
                <w:color w:val="000000"/>
                <w:kern w:val="0"/>
                <w:sz w:val="22"/>
                <w:szCs w:val="22"/>
                <w:lang w:val="en-US" w:eastAsia="zh-CN" w:bidi="ar"/>
              </w:rPr>
              <w:t>4</w:t>
            </w:r>
            <w:r>
              <w:rPr>
                <w:rStyle w:val="138"/>
                <w:rFonts w:hint="default" w:ascii="Times New Roman" w:hAnsi="Times New Roman" w:cs="Times New Roman"/>
                <w:lang w:bidi="ar"/>
              </w:rPr>
              <w:t>年预算数</w:t>
            </w: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27198341">
            <w:pPr>
              <w:widowControl/>
              <w:spacing w:line="500" w:lineRule="exact"/>
              <w:jc w:val="center"/>
              <w:textAlignment w:val="center"/>
              <w:rPr>
                <w:rFonts w:cs="Times New Roman"/>
                <w:color w:val="000000"/>
                <w:sz w:val="22"/>
                <w:szCs w:val="22"/>
              </w:rPr>
            </w:pPr>
            <w:r>
              <w:rPr>
                <w:rFonts w:cs="Times New Roman"/>
                <w:color w:val="000000"/>
                <w:kern w:val="0"/>
                <w:sz w:val="22"/>
                <w:szCs w:val="22"/>
                <w:lang w:bidi="ar"/>
              </w:rPr>
              <w:t>202</w:t>
            </w:r>
            <w:r>
              <w:rPr>
                <w:rFonts w:hint="eastAsia" w:cs="Times New Roman"/>
                <w:color w:val="000000"/>
                <w:kern w:val="0"/>
                <w:sz w:val="22"/>
                <w:szCs w:val="22"/>
                <w:lang w:val="en-US" w:eastAsia="zh-CN" w:bidi="ar"/>
              </w:rPr>
              <w:t>4</w:t>
            </w:r>
            <w:r>
              <w:rPr>
                <w:rStyle w:val="138"/>
                <w:rFonts w:hint="default" w:ascii="Times New Roman" w:hAnsi="Times New Roman" w:cs="Times New Roman"/>
                <w:lang w:bidi="ar"/>
              </w:rPr>
              <w:t>年决算数</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34D8EE6A">
            <w:pPr>
              <w:widowControl/>
              <w:spacing w:line="500" w:lineRule="exact"/>
              <w:jc w:val="center"/>
              <w:textAlignment w:val="center"/>
              <w:rPr>
                <w:rFonts w:cs="Times New Roman"/>
                <w:color w:val="000000"/>
                <w:sz w:val="22"/>
                <w:szCs w:val="22"/>
              </w:rPr>
            </w:pPr>
            <w:r>
              <w:rPr>
                <w:rFonts w:cs="Times New Roman"/>
                <w:color w:val="000000"/>
                <w:kern w:val="0"/>
                <w:sz w:val="22"/>
                <w:szCs w:val="22"/>
                <w:lang w:bidi="ar"/>
              </w:rPr>
              <w:t>202</w:t>
            </w:r>
            <w:r>
              <w:rPr>
                <w:rFonts w:hint="eastAsia" w:cs="Times New Roman"/>
                <w:color w:val="000000"/>
                <w:kern w:val="0"/>
                <w:sz w:val="22"/>
                <w:szCs w:val="22"/>
                <w:lang w:val="en-US" w:eastAsia="zh-CN" w:bidi="ar"/>
              </w:rPr>
              <w:t>5</w:t>
            </w:r>
            <w:r>
              <w:rPr>
                <w:rStyle w:val="138"/>
                <w:rFonts w:hint="default" w:ascii="Times New Roman" w:hAnsi="Times New Roman" w:cs="Times New Roman"/>
                <w:lang w:bidi="ar"/>
              </w:rPr>
              <w:t>年预算数</w:t>
            </w: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29EE81A4">
            <w:pPr>
              <w:widowControl/>
              <w:spacing w:line="500" w:lineRule="exact"/>
              <w:jc w:val="center"/>
              <w:textAlignment w:val="center"/>
              <w:rPr>
                <w:rFonts w:cs="Times New Roman"/>
                <w:color w:val="000000"/>
                <w:sz w:val="22"/>
                <w:szCs w:val="22"/>
              </w:rPr>
            </w:pPr>
            <w:r>
              <w:rPr>
                <w:rFonts w:cs="Times New Roman"/>
                <w:color w:val="000000"/>
                <w:kern w:val="0"/>
                <w:sz w:val="22"/>
                <w:szCs w:val="22"/>
                <w:lang w:bidi="ar"/>
              </w:rPr>
              <w:t>202</w:t>
            </w:r>
            <w:r>
              <w:rPr>
                <w:rFonts w:hint="eastAsia" w:cs="Times New Roman"/>
                <w:color w:val="000000"/>
                <w:kern w:val="0"/>
                <w:sz w:val="22"/>
                <w:szCs w:val="22"/>
                <w:lang w:val="en-US" w:eastAsia="zh-CN" w:bidi="ar"/>
              </w:rPr>
              <w:t>5</w:t>
            </w:r>
            <w:r>
              <w:rPr>
                <w:rStyle w:val="138"/>
                <w:rFonts w:hint="default" w:ascii="Times New Roman" w:hAnsi="Times New Roman" w:cs="Times New Roman"/>
                <w:lang w:bidi="ar"/>
              </w:rPr>
              <w:t>年决算数</w:t>
            </w:r>
          </w:p>
        </w:tc>
      </w:tr>
      <w:tr w14:paraId="57A7FADC">
        <w:tblPrEx>
          <w:tblCellMar>
            <w:top w:w="0" w:type="dxa"/>
            <w:left w:w="108" w:type="dxa"/>
            <w:bottom w:w="0" w:type="dxa"/>
            <w:right w:w="108" w:type="dxa"/>
          </w:tblCellMar>
        </w:tblPrEx>
        <w:trPr>
          <w:trHeight w:val="36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7A5194E3">
            <w:pPr>
              <w:widowControl/>
              <w:spacing w:line="500" w:lineRule="exact"/>
              <w:jc w:val="center"/>
              <w:textAlignment w:val="center"/>
              <w:rPr>
                <w:rFonts w:eastAsia="仿宋" w:cs="Times New Roman"/>
                <w:b/>
                <w:bCs/>
                <w:color w:val="000000"/>
                <w:sz w:val="22"/>
                <w:szCs w:val="22"/>
              </w:rPr>
            </w:pPr>
            <w:r>
              <w:rPr>
                <w:rFonts w:eastAsia="仿宋" w:cs="Times New Roman"/>
                <w:b/>
                <w:bCs/>
                <w:color w:val="000000"/>
                <w:kern w:val="0"/>
                <w:sz w:val="22"/>
                <w:szCs w:val="22"/>
                <w:lang w:bidi="ar"/>
              </w:rPr>
              <w:t>三公经费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56F24C62">
            <w:pPr>
              <w:widowControl/>
              <w:spacing w:line="500" w:lineRule="exact"/>
              <w:jc w:val="center"/>
              <w:textAlignment w:val="center"/>
              <w:rPr>
                <w:rFonts w:hint="default" w:eastAsia="宋体" w:cs="Times New Roman"/>
                <w:b/>
                <w:bCs/>
                <w:color w:val="000000"/>
                <w:sz w:val="22"/>
                <w:szCs w:val="22"/>
                <w:lang w:val="en-US" w:eastAsia="zh-CN"/>
              </w:rPr>
            </w:pPr>
            <w:r>
              <w:rPr>
                <w:rFonts w:hint="eastAsia" w:cs="Times New Roman"/>
                <w:b/>
                <w:bCs/>
                <w:color w:val="000000"/>
                <w:sz w:val="22"/>
                <w:szCs w:val="22"/>
                <w:lang w:val="en-US" w:eastAsia="zh-CN"/>
              </w:rPr>
              <w:t>10</w:t>
            </w: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4D8E7E26">
            <w:pPr>
              <w:widowControl/>
              <w:spacing w:line="500" w:lineRule="exact"/>
              <w:jc w:val="center"/>
              <w:textAlignment w:val="center"/>
              <w:rPr>
                <w:rFonts w:hint="default" w:eastAsia="宋体" w:cs="Times New Roman"/>
                <w:b/>
                <w:bCs/>
                <w:color w:val="000000"/>
                <w:sz w:val="22"/>
                <w:szCs w:val="22"/>
                <w:lang w:val="en-US" w:eastAsia="zh-CN"/>
              </w:rPr>
            </w:pPr>
            <w:r>
              <w:rPr>
                <w:rFonts w:hint="eastAsia" w:cs="Times New Roman"/>
                <w:b/>
                <w:bCs/>
                <w:color w:val="000000"/>
                <w:sz w:val="22"/>
                <w:szCs w:val="22"/>
                <w:lang w:val="en-US" w:eastAsia="zh-CN"/>
              </w:rPr>
              <w:t>6.15</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4E62ABA0">
            <w:pPr>
              <w:widowControl/>
              <w:spacing w:line="500" w:lineRule="exact"/>
              <w:jc w:val="center"/>
              <w:textAlignment w:val="center"/>
              <w:rPr>
                <w:rFonts w:hint="eastAsia" w:eastAsia="宋体" w:cs="Times New Roman"/>
                <w:b/>
                <w:bCs/>
                <w:color w:val="000000"/>
                <w:sz w:val="22"/>
                <w:szCs w:val="22"/>
                <w:lang w:eastAsia="zh-CN"/>
              </w:rPr>
            </w:pPr>
            <w:r>
              <w:rPr>
                <w:rFonts w:hint="eastAsia" w:cs="Times New Roman"/>
                <w:b/>
                <w:bCs/>
                <w:color w:val="000000"/>
                <w:sz w:val="22"/>
                <w:szCs w:val="22"/>
                <w:lang w:val="en-US" w:eastAsia="zh-CN"/>
              </w:rPr>
              <w:t>4</w:t>
            </w: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3FEA059D">
            <w:pPr>
              <w:widowControl/>
              <w:spacing w:line="500" w:lineRule="exact"/>
              <w:jc w:val="center"/>
              <w:textAlignment w:val="center"/>
              <w:rPr>
                <w:rFonts w:hint="eastAsia" w:eastAsia="宋体" w:cs="Times New Roman"/>
                <w:b/>
                <w:bCs/>
                <w:color w:val="000000"/>
                <w:sz w:val="22"/>
                <w:szCs w:val="22"/>
                <w:lang w:eastAsia="zh-CN"/>
              </w:rPr>
            </w:pPr>
            <w:r>
              <w:rPr>
                <w:rFonts w:hint="eastAsia" w:cs="Times New Roman"/>
                <w:b/>
                <w:bCs/>
                <w:color w:val="000000"/>
                <w:sz w:val="22"/>
                <w:szCs w:val="22"/>
                <w:lang w:val="en-US" w:eastAsia="zh-CN"/>
              </w:rPr>
              <w:t>0</w:t>
            </w:r>
          </w:p>
        </w:tc>
      </w:tr>
      <w:tr w14:paraId="206237A5">
        <w:tblPrEx>
          <w:tblCellMar>
            <w:top w:w="0" w:type="dxa"/>
            <w:left w:w="108" w:type="dxa"/>
            <w:bottom w:w="0" w:type="dxa"/>
            <w:right w:w="108" w:type="dxa"/>
          </w:tblCellMar>
        </w:tblPrEx>
        <w:trPr>
          <w:trHeight w:val="28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6C28DAD2">
            <w:pPr>
              <w:widowControl/>
              <w:spacing w:line="500" w:lineRule="exact"/>
              <w:jc w:val="center"/>
              <w:textAlignment w:val="center"/>
              <w:rPr>
                <w:rFonts w:cs="Times New Roman"/>
                <w:color w:val="000000"/>
                <w:sz w:val="22"/>
                <w:szCs w:val="22"/>
              </w:rPr>
            </w:pPr>
            <w:r>
              <w:rPr>
                <w:rStyle w:val="138"/>
                <w:rFonts w:hint="default" w:ascii="Times New Roman" w:hAnsi="Times New Roman" w:cs="Times New Roman"/>
                <w:lang w:bidi="ar"/>
              </w:rPr>
              <w:t>公务用车购置和维护经费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549B8A89">
            <w:pPr>
              <w:spacing w:line="500" w:lineRule="exact"/>
              <w:jc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3A2767CA">
            <w:pPr>
              <w:spacing w:line="500" w:lineRule="exact"/>
              <w:jc w:val="center"/>
              <w:rPr>
                <w:rFonts w:cs="Times New Roman"/>
                <w:color w:val="000000"/>
                <w:sz w:val="22"/>
                <w:szCs w:val="22"/>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0B9D1A96">
            <w:pPr>
              <w:spacing w:line="500" w:lineRule="exact"/>
              <w:jc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7B1D7912">
            <w:pPr>
              <w:spacing w:line="500" w:lineRule="exact"/>
              <w:jc w:val="center"/>
              <w:rPr>
                <w:rFonts w:cs="Times New Roman"/>
                <w:color w:val="000000"/>
                <w:sz w:val="22"/>
                <w:szCs w:val="22"/>
              </w:rPr>
            </w:pPr>
          </w:p>
        </w:tc>
      </w:tr>
      <w:tr w14:paraId="549F400D">
        <w:tblPrEx>
          <w:tblCellMar>
            <w:top w:w="0" w:type="dxa"/>
            <w:left w:w="108" w:type="dxa"/>
            <w:bottom w:w="0" w:type="dxa"/>
            <w:right w:w="108" w:type="dxa"/>
          </w:tblCellMar>
        </w:tblPrEx>
        <w:trPr>
          <w:trHeight w:val="28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381E9B67">
            <w:pPr>
              <w:widowControl/>
              <w:spacing w:line="500" w:lineRule="exact"/>
              <w:jc w:val="center"/>
              <w:textAlignment w:val="center"/>
              <w:rPr>
                <w:rFonts w:cs="Times New Roman"/>
                <w:color w:val="000000"/>
                <w:sz w:val="22"/>
                <w:szCs w:val="22"/>
              </w:rPr>
            </w:pPr>
            <w:r>
              <w:rPr>
                <w:rStyle w:val="138"/>
                <w:rFonts w:hint="default" w:ascii="Times New Roman" w:hAnsi="Times New Roman" w:cs="Times New Roman"/>
                <w:lang w:bidi="ar"/>
              </w:rPr>
              <w:t>其中：公车购置</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75EB5841">
            <w:pPr>
              <w:spacing w:line="500" w:lineRule="exact"/>
              <w:jc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3E35776D">
            <w:pPr>
              <w:spacing w:line="500" w:lineRule="exact"/>
              <w:jc w:val="center"/>
              <w:rPr>
                <w:rFonts w:cs="Times New Roman"/>
                <w:color w:val="000000"/>
                <w:sz w:val="22"/>
                <w:szCs w:val="22"/>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10EC2D06">
            <w:pPr>
              <w:spacing w:line="500" w:lineRule="exact"/>
              <w:jc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7B43654C">
            <w:pPr>
              <w:spacing w:line="500" w:lineRule="exact"/>
              <w:jc w:val="center"/>
              <w:rPr>
                <w:rFonts w:cs="Times New Roman"/>
                <w:color w:val="000000"/>
                <w:sz w:val="22"/>
                <w:szCs w:val="22"/>
              </w:rPr>
            </w:pPr>
          </w:p>
        </w:tc>
      </w:tr>
      <w:tr w14:paraId="7BE591E5">
        <w:tblPrEx>
          <w:tblCellMar>
            <w:top w:w="0" w:type="dxa"/>
            <w:left w:w="108" w:type="dxa"/>
            <w:bottom w:w="0" w:type="dxa"/>
            <w:right w:w="108" w:type="dxa"/>
          </w:tblCellMar>
        </w:tblPrEx>
        <w:trPr>
          <w:trHeight w:val="28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7EF69892">
            <w:pPr>
              <w:widowControl/>
              <w:spacing w:line="500" w:lineRule="exact"/>
              <w:jc w:val="center"/>
              <w:textAlignment w:val="center"/>
              <w:rPr>
                <w:rFonts w:cs="Times New Roman"/>
                <w:color w:val="000000"/>
                <w:sz w:val="22"/>
                <w:szCs w:val="22"/>
              </w:rPr>
            </w:pPr>
            <w:r>
              <w:rPr>
                <w:rStyle w:val="138"/>
                <w:rFonts w:hint="default" w:ascii="Times New Roman" w:hAnsi="Times New Roman" w:cs="Times New Roman"/>
                <w:lang w:bidi="ar"/>
              </w:rPr>
              <w:t>公车运行维护</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5E535087">
            <w:pPr>
              <w:spacing w:line="500" w:lineRule="exact"/>
              <w:jc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283C526F">
            <w:pPr>
              <w:spacing w:line="500" w:lineRule="exact"/>
              <w:jc w:val="center"/>
              <w:rPr>
                <w:rFonts w:cs="Times New Roman"/>
                <w:color w:val="000000"/>
                <w:sz w:val="22"/>
                <w:szCs w:val="22"/>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49E263E3">
            <w:pPr>
              <w:spacing w:line="500" w:lineRule="exact"/>
              <w:jc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1B1C2679">
            <w:pPr>
              <w:spacing w:line="500" w:lineRule="exact"/>
              <w:jc w:val="center"/>
              <w:rPr>
                <w:rFonts w:cs="Times New Roman"/>
                <w:color w:val="000000"/>
                <w:sz w:val="22"/>
                <w:szCs w:val="22"/>
              </w:rPr>
            </w:pPr>
          </w:p>
        </w:tc>
      </w:tr>
      <w:tr w14:paraId="356008FE">
        <w:tblPrEx>
          <w:tblCellMar>
            <w:top w:w="0" w:type="dxa"/>
            <w:left w:w="108" w:type="dxa"/>
            <w:bottom w:w="0" w:type="dxa"/>
            <w:right w:w="108" w:type="dxa"/>
          </w:tblCellMar>
        </w:tblPrEx>
        <w:trPr>
          <w:trHeight w:val="28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64F8753E">
            <w:pPr>
              <w:widowControl/>
              <w:spacing w:line="500" w:lineRule="exact"/>
              <w:jc w:val="center"/>
              <w:textAlignment w:val="center"/>
              <w:rPr>
                <w:rFonts w:cs="Times New Roman"/>
                <w:color w:val="000000"/>
                <w:sz w:val="22"/>
                <w:szCs w:val="22"/>
              </w:rPr>
            </w:pPr>
            <w:r>
              <w:rPr>
                <w:rStyle w:val="138"/>
                <w:rFonts w:hint="default" w:ascii="Times New Roman" w:hAnsi="Times New Roman" w:cs="Times New Roman"/>
                <w:lang w:bidi="ar"/>
              </w:rPr>
              <w:t>出国经费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0F207B58">
            <w:pPr>
              <w:spacing w:line="500" w:lineRule="exact"/>
              <w:jc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411F32E2">
            <w:pPr>
              <w:spacing w:line="500" w:lineRule="exact"/>
              <w:jc w:val="center"/>
              <w:rPr>
                <w:rFonts w:cs="Times New Roman"/>
                <w:color w:val="000000"/>
                <w:sz w:val="22"/>
                <w:szCs w:val="22"/>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052BF0CC">
            <w:pPr>
              <w:spacing w:line="500" w:lineRule="exact"/>
              <w:jc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3F1ADB38">
            <w:pPr>
              <w:spacing w:line="500" w:lineRule="exact"/>
              <w:jc w:val="center"/>
              <w:rPr>
                <w:rFonts w:cs="Times New Roman"/>
                <w:color w:val="000000"/>
                <w:sz w:val="22"/>
                <w:szCs w:val="22"/>
              </w:rPr>
            </w:pPr>
          </w:p>
        </w:tc>
      </w:tr>
      <w:tr w14:paraId="312F3F5E">
        <w:tblPrEx>
          <w:tblCellMar>
            <w:top w:w="0" w:type="dxa"/>
            <w:left w:w="108" w:type="dxa"/>
            <w:bottom w:w="0" w:type="dxa"/>
            <w:right w:w="108" w:type="dxa"/>
          </w:tblCellMar>
        </w:tblPrEx>
        <w:trPr>
          <w:trHeight w:val="28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0B7AA638">
            <w:pPr>
              <w:widowControl/>
              <w:spacing w:line="500" w:lineRule="exact"/>
              <w:jc w:val="center"/>
              <w:textAlignment w:val="center"/>
              <w:rPr>
                <w:rFonts w:cs="Times New Roman"/>
                <w:color w:val="000000"/>
                <w:sz w:val="22"/>
                <w:szCs w:val="22"/>
              </w:rPr>
            </w:pPr>
            <w:r>
              <w:rPr>
                <w:rStyle w:val="138"/>
                <w:rFonts w:hint="default" w:ascii="Times New Roman" w:hAnsi="Times New Roman" w:cs="Times New Roman"/>
                <w:lang w:bidi="ar"/>
              </w:rPr>
              <w:t>公务接待</w:t>
            </w: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EC462">
            <w:pPr>
              <w:widowControl/>
              <w:spacing w:line="500" w:lineRule="exact"/>
              <w:jc w:val="center"/>
              <w:textAlignment w:val="center"/>
              <w:rPr>
                <w:rFonts w:hint="default" w:ascii="Times New Roman" w:hAnsi="Times New Roman" w:eastAsia="宋体" w:cs="Times New Roman"/>
                <w:b w:val="0"/>
                <w:bCs w:val="0"/>
                <w:color w:val="000000"/>
                <w:kern w:val="2"/>
                <w:sz w:val="22"/>
                <w:szCs w:val="22"/>
                <w:lang w:val="en-US" w:eastAsia="zh-CN" w:bidi="ar-SA"/>
              </w:rPr>
            </w:pPr>
            <w:r>
              <w:rPr>
                <w:rFonts w:hint="eastAsia" w:cs="Times New Roman"/>
                <w:b w:val="0"/>
                <w:bCs w:val="0"/>
                <w:color w:val="000000"/>
                <w:sz w:val="22"/>
                <w:szCs w:val="22"/>
                <w:lang w:val="en-US" w:eastAsia="zh-CN"/>
              </w:rPr>
              <w:t>10</w:t>
            </w:r>
          </w:p>
        </w:tc>
        <w:tc>
          <w:tcPr>
            <w:tcW w:w="166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8BB4A">
            <w:pPr>
              <w:widowControl/>
              <w:spacing w:line="500" w:lineRule="exact"/>
              <w:jc w:val="center"/>
              <w:textAlignment w:val="center"/>
              <w:rPr>
                <w:rFonts w:hint="default" w:ascii="Times New Roman" w:hAnsi="Times New Roman" w:eastAsia="宋体" w:cs="Times New Roman"/>
                <w:b w:val="0"/>
                <w:bCs w:val="0"/>
                <w:color w:val="000000"/>
                <w:kern w:val="2"/>
                <w:sz w:val="22"/>
                <w:szCs w:val="22"/>
                <w:lang w:val="en-US" w:eastAsia="zh-CN" w:bidi="ar-SA"/>
              </w:rPr>
            </w:pPr>
            <w:r>
              <w:rPr>
                <w:rFonts w:hint="eastAsia" w:cs="Times New Roman"/>
                <w:b w:val="0"/>
                <w:bCs w:val="0"/>
                <w:color w:val="000000"/>
                <w:sz w:val="22"/>
                <w:szCs w:val="22"/>
                <w:lang w:val="en-US" w:eastAsia="zh-CN"/>
              </w:rPr>
              <w:t>6.15</w:t>
            </w:r>
          </w:p>
        </w:tc>
        <w:tc>
          <w:tcPr>
            <w:tcW w:w="165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3E180">
            <w:pPr>
              <w:widowControl/>
              <w:spacing w:line="500" w:lineRule="exact"/>
              <w:jc w:val="center"/>
              <w:textAlignment w:val="center"/>
              <w:rPr>
                <w:rFonts w:hint="eastAsia" w:ascii="Times New Roman" w:hAnsi="Times New Roman" w:eastAsia="宋体" w:cs="Times New Roman"/>
                <w:b w:val="0"/>
                <w:bCs w:val="0"/>
                <w:color w:val="000000"/>
                <w:kern w:val="2"/>
                <w:sz w:val="22"/>
                <w:szCs w:val="22"/>
                <w:lang w:val="en-US" w:eastAsia="zh-CN" w:bidi="ar-SA"/>
              </w:rPr>
            </w:pPr>
            <w:r>
              <w:rPr>
                <w:rFonts w:hint="eastAsia" w:cs="Times New Roman"/>
                <w:b w:val="0"/>
                <w:bCs w:val="0"/>
                <w:color w:val="000000"/>
                <w:sz w:val="22"/>
                <w:szCs w:val="22"/>
                <w:lang w:val="en-US" w:eastAsia="zh-CN"/>
              </w:rPr>
              <w:t>4</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E05BE">
            <w:pPr>
              <w:widowControl/>
              <w:spacing w:line="500" w:lineRule="exact"/>
              <w:jc w:val="center"/>
              <w:textAlignment w:val="center"/>
              <w:rPr>
                <w:rFonts w:hint="eastAsia" w:ascii="Times New Roman" w:hAnsi="Times New Roman" w:eastAsia="宋体" w:cs="Times New Roman"/>
                <w:b w:val="0"/>
                <w:bCs w:val="0"/>
                <w:color w:val="000000"/>
                <w:kern w:val="2"/>
                <w:sz w:val="22"/>
                <w:szCs w:val="22"/>
                <w:lang w:val="en-US" w:eastAsia="zh-CN" w:bidi="ar-SA"/>
              </w:rPr>
            </w:pPr>
            <w:r>
              <w:rPr>
                <w:rFonts w:hint="eastAsia" w:cs="Times New Roman"/>
                <w:b w:val="0"/>
                <w:bCs w:val="0"/>
                <w:color w:val="000000"/>
                <w:sz w:val="22"/>
                <w:szCs w:val="22"/>
                <w:lang w:val="en-US" w:eastAsia="zh-CN"/>
              </w:rPr>
              <w:t>0</w:t>
            </w:r>
          </w:p>
        </w:tc>
      </w:tr>
      <w:tr w14:paraId="6D60DAEE">
        <w:tblPrEx>
          <w:tblCellMar>
            <w:top w:w="0" w:type="dxa"/>
            <w:left w:w="108" w:type="dxa"/>
            <w:bottom w:w="0" w:type="dxa"/>
            <w:right w:w="108" w:type="dxa"/>
          </w:tblCellMar>
        </w:tblPrEx>
        <w:trPr>
          <w:trHeight w:val="525"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4A4CC5A7">
            <w:pPr>
              <w:widowControl/>
              <w:spacing w:line="500" w:lineRule="exact"/>
              <w:jc w:val="center"/>
              <w:textAlignment w:val="center"/>
              <w:rPr>
                <w:rFonts w:eastAsia="仿宋" w:cs="Times New Roman"/>
                <w:b/>
                <w:bCs/>
                <w:color w:val="000000"/>
                <w:sz w:val="22"/>
                <w:szCs w:val="22"/>
              </w:rPr>
            </w:pPr>
            <w:r>
              <w:rPr>
                <w:rFonts w:eastAsia="仿宋" w:cs="Times New Roman"/>
                <w:b/>
                <w:bCs/>
                <w:color w:val="000000"/>
                <w:kern w:val="0"/>
                <w:sz w:val="22"/>
                <w:szCs w:val="22"/>
                <w:lang w:bidi="ar"/>
              </w:rPr>
              <w:t>项目支出</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20D9BF8E">
            <w:pPr>
              <w:spacing w:line="500" w:lineRule="exact"/>
              <w:jc w:val="center"/>
              <w:rPr>
                <w:rFonts w:cs="Times New Roman"/>
                <w:b/>
                <w:bCs/>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0584BB8C">
            <w:pPr>
              <w:spacing w:line="500" w:lineRule="exact"/>
              <w:jc w:val="center"/>
              <w:rPr>
                <w:rFonts w:cs="Times New Roman"/>
                <w:b/>
                <w:bCs/>
                <w:color w:val="000000"/>
                <w:sz w:val="22"/>
                <w:szCs w:val="22"/>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06A63D68">
            <w:pPr>
              <w:spacing w:line="500" w:lineRule="exact"/>
              <w:jc w:val="center"/>
              <w:rPr>
                <w:rFonts w:cs="Times New Roman"/>
                <w:b/>
                <w:bCs/>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17F86A48">
            <w:pPr>
              <w:spacing w:line="500" w:lineRule="exact"/>
              <w:jc w:val="center"/>
              <w:rPr>
                <w:rFonts w:cs="Times New Roman"/>
                <w:b/>
                <w:bCs/>
                <w:color w:val="000000"/>
                <w:sz w:val="22"/>
                <w:szCs w:val="22"/>
              </w:rPr>
            </w:pPr>
          </w:p>
        </w:tc>
      </w:tr>
      <w:tr w14:paraId="2CB0CC50">
        <w:tblPrEx>
          <w:tblCellMar>
            <w:top w:w="0" w:type="dxa"/>
            <w:left w:w="108" w:type="dxa"/>
            <w:bottom w:w="0" w:type="dxa"/>
            <w:right w:w="108" w:type="dxa"/>
          </w:tblCellMar>
        </w:tblPrEx>
        <w:trPr>
          <w:trHeight w:val="525"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1BB5DD47">
            <w:pPr>
              <w:widowControl/>
              <w:spacing w:line="500" w:lineRule="exact"/>
              <w:jc w:val="center"/>
              <w:textAlignment w:val="center"/>
              <w:rPr>
                <w:rFonts w:cs="Times New Roman"/>
                <w:color w:val="000000"/>
                <w:sz w:val="22"/>
                <w:szCs w:val="22"/>
              </w:rPr>
            </w:pPr>
            <w:r>
              <w:rPr>
                <w:rStyle w:val="138"/>
                <w:rFonts w:hint="default" w:ascii="Times New Roman" w:hAnsi="Times New Roman" w:cs="Times New Roman"/>
                <w:lang w:bidi="ar"/>
              </w:rPr>
              <w:t>1.业务工作专项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655F8C9B">
            <w:pPr>
              <w:widowControl/>
              <w:spacing w:line="500" w:lineRule="exact"/>
              <w:jc w:val="center"/>
              <w:textAlignment w:val="center"/>
              <w:rPr>
                <w:rFonts w:cs="Times New Roman"/>
                <w:b/>
                <w:bCs/>
                <w:color w:val="000000"/>
                <w:sz w:val="22"/>
                <w:szCs w:val="22"/>
              </w:rPr>
            </w:pPr>
            <w:r>
              <w:rPr>
                <w:rFonts w:cs="Times New Roman"/>
                <w:b/>
                <w:bCs/>
                <w:color w:val="000000"/>
                <w:sz w:val="22"/>
                <w:szCs w:val="22"/>
              </w:rPr>
              <w:t>255.58</w:t>
            </w: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1ADD30D0">
            <w:pPr>
              <w:widowControl/>
              <w:spacing w:line="500" w:lineRule="exact"/>
              <w:jc w:val="center"/>
              <w:textAlignment w:val="center"/>
              <w:rPr>
                <w:rFonts w:cs="Times New Roman"/>
                <w:b/>
                <w:bCs/>
                <w:color w:val="000000"/>
                <w:sz w:val="22"/>
                <w:szCs w:val="22"/>
              </w:rPr>
            </w:pPr>
            <w:r>
              <w:rPr>
                <w:rFonts w:cs="Times New Roman"/>
                <w:b/>
                <w:bCs/>
                <w:color w:val="000000"/>
                <w:sz w:val="22"/>
                <w:szCs w:val="22"/>
              </w:rPr>
              <w:t>602.73</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01AF3394">
            <w:pPr>
              <w:widowControl/>
              <w:spacing w:line="500" w:lineRule="exact"/>
              <w:jc w:val="center"/>
              <w:textAlignment w:val="center"/>
              <w:rPr>
                <w:rFonts w:hint="default" w:eastAsia="宋体" w:cs="Times New Roman"/>
                <w:b/>
                <w:bCs/>
                <w:color w:val="000000"/>
                <w:sz w:val="22"/>
                <w:szCs w:val="22"/>
                <w:lang w:val="en-US" w:eastAsia="zh-CN"/>
              </w:rPr>
            </w:pPr>
            <w:r>
              <w:rPr>
                <w:rFonts w:hint="eastAsia" w:cs="Times New Roman"/>
                <w:b/>
                <w:bCs/>
                <w:color w:val="000000"/>
                <w:sz w:val="22"/>
                <w:szCs w:val="22"/>
                <w:lang w:val="en-US" w:eastAsia="zh-CN"/>
              </w:rPr>
              <w:t>330.15</w:t>
            </w: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1A515D4A">
            <w:pPr>
              <w:widowControl/>
              <w:spacing w:line="500" w:lineRule="exact"/>
              <w:jc w:val="center"/>
              <w:textAlignment w:val="center"/>
              <w:rPr>
                <w:rFonts w:hint="default" w:eastAsia="宋体" w:cs="Times New Roman"/>
                <w:b/>
                <w:bCs/>
                <w:color w:val="000000"/>
                <w:sz w:val="22"/>
                <w:szCs w:val="22"/>
                <w:lang w:val="en-US" w:eastAsia="zh-CN"/>
              </w:rPr>
            </w:pPr>
            <w:r>
              <w:rPr>
                <w:rFonts w:hint="eastAsia" w:cs="Times New Roman"/>
                <w:b/>
                <w:bCs/>
                <w:color w:val="000000"/>
                <w:sz w:val="22"/>
                <w:szCs w:val="22"/>
                <w:lang w:val="en-US" w:eastAsia="zh-CN"/>
              </w:rPr>
              <w:t>105.78</w:t>
            </w:r>
          </w:p>
        </w:tc>
      </w:tr>
      <w:tr w14:paraId="3AE4B1C0">
        <w:tblPrEx>
          <w:tblCellMar>
            <w:top w:w="0" w:type="dxa"/>
            <w:left w:w="108" w:type="dxa"/>
            <w:bottom w:w="0" w:type="dxa"/>
            <w:right w:w="108" w:type="dxa"/>
          </w:tblCellMar>
        </w:tblPrEx>
        <w:trPr>
          <w:trHeight w:val="42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773006DD">
            <w:pPr>
              <w:widowControl/>
              <w:spacing w:line="500" w:lineRule="exact"/>
              <w:jc w:val="center"/>
              <w:textAlignment w:val="center"/>
              <w:rPr>
                <w:rFonts w:eastAsia="仿宋" w:cs="Times New Roman"/>
                <w:b/>
                <w:bCs/>
                <w:color w:val="000000"/>
                <w:sz w:val="22"/>
                <w:szCs w:val="22"/>
              </w:rPr>
            </w:pPr>
            <w:r>
              <w:rPr>
                <w:rFonts w:eastAsia="仿宋" w:cs="Times New Roman"/>
                <w:b/>
                <w:bCs/>
                <w:color w:val="000000"/>
                <w:kern w:val="0"/>
                <w:sz w:val="22"/>
                <w:szCs w:val="22"/>
                <w:lang w:bidi="ar"/>
              </w:rPr>
              <w:t>公用经费情况：</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0E9DDAC1">
            <w:pPr>
              <w:widowControl/>
              <w:spacing w:line="500" w:lineRule="exact"/>
              <w:jc w:val="center"/>
              <w:textAlignment w:val="center"/>
              <w:rPr>
                <w:rFonts w:cs="Times New Roman"/>
                <w:b/>
                <w:bCs/>
                <w:color w:val="000000"/>
                <w:sz w:val="22"/>
                <w:szCs w:val="22"/>
              </w:rPr>
            </w:pPr>
            <w:r>
              <w:rPr>
                <w:rFonts w:cs="Times New Roman"/>
                <w:b/>
                <w:bCs/>
                <w:color w:val="000000"/>
                <w:sz w:val="22"/>
                <w:szCs w:val="22"/>
              </w:rPr>
              <w:t>108.68</w:t>
            </w: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2F8572E2">
            <w:pPr>
              <w:widowControl/>
              <w:spacing w:line="500" w:lineRule="exact"/>
              <w:jc w:val="center"/>
              <w:textAlignment w:val="center"/>
              <w:rPr>
                <w:rFonts w:cs="Times New Roman"/>
                <w:b/>
                <w:bCs/>
                <w:color w:val="000000"/>
                <w:sz w:val="22"/>
                <w:szCs w:val="22"/>
              </w:rPr>
            </w:pPr>
            <w:r>
              <w:rPr>
                <w:rFonts w:cs="Times New Roman"/>
                <w:b/>
                <w:bCs/>
                <w:color w:val="000000"/>
                <w:sz w:val="22"/>
                <w:szCs w:val="22"/>
              </w:rPr>
              <w:t>107.44</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102FBB62">
            <w:pPr>
              <w:widowControl/>
              <w:spacing w:line="500" w:lineRule="exact"/>
              <w:jc w:val="center"/>
              <w:textAlignment w:val="center"/>
              <w:rPr>
                <w:rFonts w:hint="default" w:eastAsia="宋体" w:cs="Times New Roman"/>
                <w:b/>
                <w:bCs/>
                <w:color w:val="000000"/>
                <w:sz w:val="22"/>
                <w:szCs w:val="22"/>
                <w:lang w:val="en-US" w:eastAsia="zh-CN"/>
              </w:rPr>
            </w:pPr>
            <w:r>
              <w:rPr>
                <w:rFonts w:hint="eastAsia" w:cs="Times New Roman"/>
                <w:b/>
                <w:bCs/>
                <w:color w:val="000000"/>
                <w:sz w:val="22"/>
                <w:szCs w:val="22"/>
                <w:lang w:val="en-US" w:eastAsia="zh-CN"/>
              </w:rPr>
              <w:t>112.31</w:t>
            </w: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7D3EAFAB">
            <w:pPr>
              <w:widowControl/>
              <w:spacing w:line="500" w:lineRule="exact"/>
              <w:jc w:val="center"/>
              <w:textAlignment w:val="center"/>
              <w:rPr>
                <w:rFonts w:hint="default" w:eastAsia="宋体" w:cs="Times New Roman"/>
                <w:b/>
                <w:bCs/>
                <w:color w:val="000000"/>
                <w:sz w:val="22"/>
                <w:szCs w:val="22"/>
                <w:lang w:val="en-US" w:eastAsia="zh-CN"/>
              </w:rPr>
            </w:pPr>
            <w:r>
              <w:rPr>
                <w:rFonts w:hint="eastAsia" w:cs="Times New Roman"/>
                <w:b/>
                <w:bCs/>
                <w:color w:val="000000"/>
                <w:sz w:val="22"/>
                <w:szCs w:val="22"/>
                <w:lang w:val="en-US" w:eastAsia="zh-CN"/>
              </w:rPr>
              <w:t>104.43</w:t>
            </w:r>
          </w:p>
        </w:tc>
      </w:tr>
      <w:tr w14:paraId="6CC0AF23">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766A3129">
            <w:pPr>
              <w:widowControl/>
              <w:spacing w:line="500" w:lineRule="exact"/>
              <w:jc w:val="center"/>
              <w:textAlignment w:val="center"/>
              <w:rPr>
                <w:rFonts w:cs="Times New Roman"/>
                <w:color w:val="000000"/>
                <w:sz w:val="22"/>
                <w:szCs w:val="22"/>
              </w:rPr>
            </w:pPr>
            <w:r>
              <w:rPr>
                <w:rStyle w:val="138"/>
                <w:rFonts w:hint="default" w:ascii="Times New Roman" w:hAnsi="Times New Roman" w:cs="Times New Roman"/>
                <w:lang w:bidi="ar"/>
              </w:rPr>
              <w:t>其中：办公费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2550EC39">
            <w:pPr>
              <w:widowControl/>
              <w:spacing w:line="500" w:lineRule="exact"/>
              <w:jc w:val="center"/>
              <w:textAlignment w:val="center"/>
              <w:rPr>
                <w:rFonts w:cs="Times New Roman"/>
                <w:color w:val="000000"/>
                <w:sz w:val="22"/>
                <w:szCs w:val="22"/>
              </w:rPr>
            </w:pPr>
            <w:r>
              <w:rPr>
                <w:rFonts w:cs="Times New Roman"/>
                <w:color w:val="000000"/>
                <w:sz w:val="22"/>
                <w:szCs w:val="22"/>
              </w:rPr>
              <w:t>29</w:t>
            </w: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5D91E06F">
            <w:pPr>
              <w:widowControl/>
              <w:spacing w:line="500" w:lineRule="exact"/>
              <w:jc w:val="center"/>
              <w:textAlignment w:val="center"/>
              <w:rPr>
                <w:rFonts w:cs="Times New Roman"/>
                <w:color w:val="000000"/>
                <w:sz w:val="22"/>
                <w:szCs w:val="22"/>
              </w:rPr>
            </w:pPr>
            <w:r>
              <w:rPr>
                <w:rFonts w:cs="Times New Roman"/>
                <w:color w:val="000000"/>
                <w:sz w:val="22"/>
                <w:szCs w:val="22"/>
              </w:rPr>
              <w:t>16.67</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6E7B1862">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32.19</w:t>
            </w: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1842B75E">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8.67</w:t>
            </w:r>
          </w:p>
        </w:tc>
      </w:tr>
      <w:tr w14:paraId="0E19F717">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60A6E856">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印刷费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72DA5FE0">
            <w:pPr>
              <w:widowControl/>
              <w:spacing w:line="500" w:lineRule="exact"/>
              <w:jc w:val="center"/>
              <w:textAlignment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1A31BB43">
            <w:pPr>
              <w:widowControl/>
              <w:spacing w:line="500" w:lineRule="exact"/>
              <w:jc w:val="center"/>
              <w:textAlignment w:val="center"/>
              <w:rPr>
                <w:rFonts w:cs="Times New Roman"/>
                <w:color w:val="000000"/>
                <w:sz w:val="22"/>
                <w:szCs w:val="22"/>
              </w:rPr>
            </w:pPr>
            <w:r>
              <w:rPr>
                <w:rFonts w:cs="Times New Roman"/>
                <w:color w:val="000000"/>
                <w:sz w:val="22"/>
                <w:szCs w:val="22"/>
              </w:rPr>
              <w:t>5.35</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5BC50539">
            <w:pPr>
              <w:widowControl/>
              <w:spacing w:line="500" w:lineRule="exact"/>
              <w:jc w:val="center"/>
              <w:textAlignment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2B675A2C">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2.9</w:t>
            </w:r>
          </w:p>
        </w:tc>
      </w:tr>
      <w:tr w14:paraId="77487B67">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5445A9AE">
            <w:pPr>
              <w:widowControl/>
              <w:spacing w:line="500" w:lineRule="exact"/>
              <w:jc w:val="center"/>
              <w:textAlignment w:val="center"/>
              <w:rPr>
                <w:rFonts w:eastAsia="仿宋" w:cs="Times New Roman"/>
                <w:color w:val="000000"/>
                <w:kern w:val="0"/>
                <w:sz w:val="22"/>
                <w:szCs w:val="22"/>
                <w:lang w:bidi="ar"/>
              </w:rPr>
            </w:pPr>
            <w:r>
              <w:rPr>
                <w:rFonts w:eastAsia="仿宋" w:cs="Times New Roman"/>
                <w:color w:val="000000"/>
                <w:kern w:val="0"/>
                <w:sz w:val="22"/>
                <w:szCs w:val="22"/>
                <w:lang w:bidi="ar"/>
              </w:rPr>
              <w:t>咨询费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56E4EEC3">
            <w:pPr>
              <w:widowControl/>
              <w:spacing w:line="500" w:lineRule="exact"/>
              <w:jc w:val="center"/>
              <w:textAlignment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2F35DDE6">
            <w:pPr>
              <w:widowControl/>
              <w:spacing w:line="500" w:lineRule="exact"/>
              <w:jc w:val="center"/>
              <w:textAlignment w:val="center"/>
              <w:rPr>
                <w:rFonts w:cs="Times New Roman"/>
                <w:color w:val="000000"/>
                <w:sz w:val="22"/>
                <w:szCs w:val="22"/>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35CEF8C4">
            <w:pPr>
              <w:spacing w:line="500" w:lineRule="exact"/>
              <w:jc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503FA080">
            <w:pPr>
              <w:spacing w:line="500" w:lineRule="exact"/>
              <w:jc w:val="center"/>
              <w:rPr>
                <w:rFonts w:cs="Times New Roman"/>
                <w:color w:val="000000"/>
                <w:sz w:val="22"/>
                <w:szCs w:val="22"/>
              </w:rPr>
            </w:pPr>
          </w:p>
        </w:tc>
      </w:tr>
      <w:tr w14:paraId="5E72D7CB">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3736113C">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手续费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6F742CD3">
            <w:pPr>
              <w:spacing w:line="500" w:lineRule="exact"/>
              <w:jc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79EAD528">
            <w:pPr>
              <w:spacing w:line="500" w:lineRule="exact"/>
              <w:jc w:val="center"/>
              <w:rPr>
                <w:rFonts w:cs="Times New Roman"/>
                <w:color w:val="000000"/>
                <w:sz w:val="22"/>
                <w:szCs w:val="22"/>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61692243">
            <w:pPr>
              <w:spacing w:line="500" w:lineRule="exact"/>
              <w:jc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719167AC">
            <w:pPr>
              <w:spacing w:line="500" w:lineRule="exact"/>
              <w:jc w:val="center"/>
              <w:rPr>
                <w:rFonts w:cs="Times New Roman"/>
                <w:color w:val="000000"/>
                <w:sz w:val="22"/>
                <w:szCs w:val="22"/>
              </w:rPr>
            </w:pPr>
          </w:p>
        </w:tc>
      </w:tr>
      <w:tr w14:paraId="129C2E87">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4D2F64BA">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水费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3B8808AD">
            <w:pPr>
              <w:spacing w:line="500" w:lineRule="exact"/>
              <w:jc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6CE4FE29">
            <w:pPr>
              <w:spacing w:line="500" w:lineRule="exact"/>
              <w:jc w:val="center"/>
              <w:rPr>
                <w:rFonts w:cs="Times New Roman"/>
                <w:color w:val="000000"/>
                <w:sz w:val="22"/>
                <w:szCs w:val="22"/>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4C8701E3">
            <w:pPr>
              <w:spacing w:line="500" w:lineRule="exact"/>
              <w:jc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6F1D5482">
            <w:pPr>
              <w:spacing w:line="500" w:lineRule="exact"/>
              <w:jc w:val="center"/>
              <w:rPr>
                <w:rFonts w:cs="Times New Roman"/>
                <w:color w:val="000000"/>
                <w:sz w:val="22"/>
                <w:szCs w:val="22"/>
              </w:rPr>
            </w:pPr>
          </w:p>
        </w:tc>
      </w:tr>
      <w:tr w14:paraId="1DCDD25E">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6CE96874">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电费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3C28B081">
            <w:pPr>
              <w:spacing w:line="500" w:lineRule="exact"/>
              <w:jc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13315A44">
            <w:pPr>
              <w:spacing w:line="500" w:lineRule="exact"/>
              <w:jc w:val="center"/>
              <w:rPr>
                <w:rFonts w:cs="Times New Roman"/>
                <w:color w:val="000000"/>
                <w:sz w:val="22"/>
                <w:szCs w:val="22"/>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3A6FAFDD">
            <w:pPr>
              <w:spacing w:line="500" w:lineRule="exact"/>
              <w:jc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61F39A2E">
            <w:pPr>
              <w:spacing w:line="500" w:lineRule="exact"/>
              <w:jc w:val="center"/>
              <w:rPr>
                <w:rFonts w:cs="Times New Roman"/>
                <w:color w:val="000000"/>
                <w:sz w:val="22"/>
                <w:szCs w:val="22"/>
              </w:rPr>
            </w:pPr>
          </w:p>
        </w:tc>
      </w:tr>
      <w:tr w14:paraId="372C97DF">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6C38D3D7">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邮电费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29F2CBB2">
            <w:pPr>
              <w:widowControl/>
              <w:spacing w:line="500" w:lineRule="exact"/>
              <w:jc w:val="center"/>
              <w:textAlignment w:val="center"/>
              <w:rPr>
                <w:rFonts w:cs="Times New Roman"/>
                <w:color w:val="000000"/>
                <w:sz w:val="22"/>
                <w:szCs w:val="22"/>
              </w:rPr>
            </w:pPr>
            <w:r>
              <w:rPr>
                <w:rFonts w:cs="Times New Roman"/>
                <w:color w:val="000000"/>
                <w:sz w:val="22"/>
                <w:szCs w:val="22"/>
              </w:rPr>
              <w:t>1.37</w:t>
            </w: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261FFFAE">
            <w:pPr>
              <w:widowControl/>
              <w:spacing w:line="500" w:lineRule="exact"/>
              <w:jc w:val="center"/>
              <w:textAlignment w:val="center"/>
              <w:rPr>
                <w:rFonts w:cs="Times New Roman"/>
                <w:color w:val="000000"/>
                <w:sz w:val="22"/>
                <w:szCs w:val="22"/>
              </w:rPr>
            </w:pPr>
            <w:r>
              <w:rPr>
                <w:rFonts w:cs="Times New Roman"/>
                <w:color w:val="000000"/>
                <w:sz w:val="22"/>
                <w:szCs w:val="22"/>
              </w:rPr>
              <w:t>0.98</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2DE5473C">
            <w:pPr>
              <w:widowControl/>
              <w:spacing w:line="500" w:lineRule="exact"/>
              <w:jc w:val="center"/>
              <w:textAlignment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3CE98E48">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1.66</w:t>
            </w:r>
          </w:p>
        </w:tc>
      </w:tr>
      <w:tr w14:paraId="5637EF42">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07E55C6C">
            <w:pPr>
              <w:widowControl/>
              <w:spacing w:line="500" w:lineRule="exact"/>
              <w:jc w:val="center"/>
              <w:textAlignment w:val="center"/>
              <w:rPr>
                <w:rFonts w:eastAsia="仿宋" w:cs="Times New Roman"/>
                <w:color w:val="000000"/>
                <w:kern w:val="0"/>
                <w:sz w:val="22"/>
                <w:szCs w:val="22"/>
                <w:lang w:bidi="ar"/>
              </w:rPr>
            </w:pPr>
            <w:r>
              <w:rPr>
                <w:rFonts w:eastAsia="仿宋" w:cs="Times New Roman"/>
                <w:color w:val="000000"/>
                <w:kern w:val="0"/>
                <w:sz w:val="22"/>
                <w:szCs w:val="22"/>
                <w:lang w:bidi="ar"/>
              </w:rPr>
              <w:t>取暖费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4F81A9E6">
            <w:pPr>
              <w:widowControl/>
              <w:spacing w:line="500" w:lineRule="exact"/>
              <w:jc w:val="center"/>
              <w:textAlignment w:val="center"/>
              <w:rPr>
                <w:rFonts w:cs="Times New Roman"/>
                <w:color w:val="000000"/>
                <w:kern w:val="0"/>
                <w:sz w:val="22"/>
                <w:szCs w:val="22"/>
                <w:lang w:bidi="ar"/>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26F4805B">
            <w:pPr>
              <w:widowControl/>
              <w:spacing w:line="500" w:lineRule="exact"/>
              <w:jc w:val="center"/>
              <w:textAlignment w:val="center"/>
              <w:rPr>
                <w:rFonts w:cs="Times New Roman"/>
                <w:color w:val="000000"/>
                <w:kern w:val="0"/>
                <w:sz w:val="22"/>
                <w:szCs w:val="22"/>
                <w:lang w:bidi="ar"/>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38F19956">
            <w:pPr>
              <w:widowControl/>
              <w:spacing w:line="500" w:lineRule="exact"/>
              <w:jc w:val="center"/>
              <w:textAlignment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0F490571">
            <w:pPr>
              <w:widowControl/>
              <w:spacing w:line="500" w:lineRule="exact"/>
              <w:jc w:val="center"/>
              <w:textAlignment w:val="center"/>
              <w:rPr>
                <w:rFonts w:cs="Times New Roman"/>
                <w:color w:val="000000"/>
                <w:sz w:val="22"/>
                <w:szCs w:val="22"/>
              </w:rPr>
            </w:pPr>
          </w:p>
        </w:tc>
      </w:tr>
      <w:tr w14:paraId="1CF420BC">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2C79804D">
            <w:pPr>
              <w:widowControl/>
              <w:spacing w:line="500" w:lineRule="exact"/>
              <w:jc w:val="center"/>
              <w:textAlignment w:val="center"/>
              <w:rPr>
                <w:rFonts w:eastAsia="仿宋" w:cs="Times New Roman"/>
                <w:color w:val="000000"/>
                <w:kern w:val="0"/>
                <w:sz w:val="22"/>
                <w:szCs w:val="22"/>
                <w:lang w:bidi="ar"/>
              </w:rPr>
            </w:pPr>
            <w:r>
              <w:rPr>
                <w:rFonts w:eastAsia="仿宋" w:cs="Times New Roman"/>
                <w:color w:val="000000"/>
                <w:kern w:val="0"/>
                <w:sz w:val="22"/>
                <w:szCs w:val="22"/>
                <w:lang w:bidi="ar"/>
              </w:rPr>
              <w:t>物业管理费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4208120F">
            <w:pPr>
              <w:widowControl/>
              <w:spacing w:line="500" w:lineRule="exact"/>
              <w:jc w:val="center"/>
              <w:textAlignment w:val="center"/>
              <w:rPr>
                <w:rFonts w:cs="Times New Roman"/>
                <w:color w:val="000000"/>
                <w:kern w:val="0"/>
                <w:sz w:val="22"/>
                <w:szCs w:val="22"/>
                <w:lang w:bidi="ar"/>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5D93F6EB">
            <w:pPr>
              <w:widowControl/>
              <w:spacing w:line="500" w:lineRule="exact"/>
              <w:jc w:val="center"/>
              <w:textAlignment w:val="center"/>
              <w:rPr>
                <w:rFonts w:cs="Times New Roman"/>
                <w:color w:val="000000"/>
                <w:kern w:val="0"/>
                <w:sz w:val="22"/>
                <w:szCs w:val="22"/>
                <w:lang w:bidi="ar"/>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55576EBF">
            <w:pPr>
              <w:widowControl/>
              <w:spacing w:line="500" w:lineRule="exact"/>
              <w:jc w:val="center"/>
              <w:textAlignment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4BB45994">
            <w:pPr>
              <w:widowControl/>
              <w:spacing w:line="500" w:lineRule="exact"/>
              <w:jc w:val="center"/>
              <w:textAlignment w:val="center"/>
              <w:rPr>
                <w:rFonts w:cs="Times New Roman"/>
                <w:color w:val="000000"/>
                <w:sz w:val="22"/>
                <w:szCs w:val="22"/>
              </w:rPr>
            </w:pPr>
          </w:p>
        </w:tc>
      </w:tr>
      <w:tr w14:paraId="17B02EE0">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450275E2">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差旅费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2787472E">
            <w:pPr>
              <w:widowControl/>
              <w:spacing w:line="500" w:lineRule="exact"/>
              <w:jc w:val="center"/>
              <w:textAlignment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2FB7959B">
            <w:pPr>
              <w:widowControl/>
              <w:spacing w:line="500" w:lineRule="exact"/>
              <w:jc w:val="center"/>
              <w:textAlignment w:val="center"/>
              <w:rPr>
                <w:rFonts w:cs="Times New Roman"/>
                <w:color w:val="000000"/>
                <w:sz w:val="22"/>
                <w:szCs w:val="22"/>
              </w:rPr>
            </w:pPr>
            <w:r>
              <w:rPr>
                <w:rFonts w:cs="Times New Roman"/>
                <w:color w:val="000000"/>
                <w:sz w:val="22"/>
                <w:szCs w:val="22"/>
              </w:rPr>
              <w:t>0.41</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20D211BC">
            <w:pPr>
              <w:widowControl/>
              <w:spacing w:line="500" w:lineRule="exact"/>
              <w:jc w:val="center"/>
              <w:textAlignment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1DC29216">
            <w:pPr>
              <w:widowControl/>
              <w:spacing w:line="500" w:lineRule="exact"/>
              <w:jc w:val="center"/>
              <w:textAlignment w:val="center"/>
              <w:rPr>
                <w:rFonts w:cs="Times New Roman"/>
                <w:color w:val="000000"/>
                <w:sz w:val="22"/>
                <w:szCs w:val="22"/>
              </w:rPr>
            </w:pPr>
          </w:p>
        </w:tc>
      </w:tr>
      <w:tr w14:paraId="7B18B33F">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63AD043F">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维修（护）费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582A5EFA">
            <w:pPr>
              <w:widowControl/>
              <w:spacing w:line="500" w:lineRule="exact"/>
              <w:jc w:val="center"/>
              <w:textAlignment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13C227F8">
            <w:pPr>
              <w:widowControl/>
              <w:spacing w:line="500" w:lineRule="exact"/>
              <w:jc w:val="center"/>
              <w:textAlignment w:val="center"/>
              <w:rPr>
                <w:rFonts w:cs="Times New Roman"/>
                <w:color w:val="000000"/>
                <w:sz w:val="22"/>
                <w:szCs w:val="22"/>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3091F9B7">
            <w:pPr>
              <w:widowControl/>
              <w:spacing w:line="500" w:lineRule="exact"/>
              <w:jc w:val="center"/>
              <w:textAlignment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3EE82B45">
            <w:pPr>
              <w:widowControl/>
              <w:spacing w:line="500" w:lineRule="exact"/>
              <w:jc w:val="center"/>
              <w:textAlignment w:val="center"/>
              <w:rPr>
                <w:rFonts w:cs="Times New Roman"/>
                <w:color w:val="000000"/>
                <w:sz w:val="22"/>
                <w:szCs w:val="22"/>
              </w:rPr>
            </w:pPr>
          </w:p>
        </w:tc>
      </w:tr>
      <w:tr w14:paraId="4C666484">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16F095F2">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租赁费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0E24EE40">
            <w:pPr>
              <w:spacing w:line="500" w:lineRule="exact"/>
              <w:jc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5E3CE6C0">
            <w:pPr>
              <w:spacing w:line="500" w:lineRule="exact"/>
              <w:jc w:val="center"/>
              <w:rPr>
                <w:rFonts w:cs="Times New Roman"/>
                <w:color w:val="000000"/>
                <w:sz w:val="22"/>
                <w:szCs w:val="22"/>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7DE41440">
            <w:pPr>
              <w:spacing w:line="500" w:lineRule="exact"/>
              <w:jc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12F07A72">
            <w:pPr>
              <w:spacing w:line="500" w:lineRule="exact"/>
              <w:jc w:val="center"/>
              <w:rPr>
                <w:rFonts w:cs="Times New Roman"/>
                <w:color w:val="000000"/>
                <w:sz w:val="22"/>
                <w:szCs w:val="22"/>
              </w:rPr>
            </w:pPr>
          </w:p>
        </w:tc>
      </w:tr>
      <w:tr w14:paraId="71B59934">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081630E1">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会议费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24B6EE58">
            <w:pPr>
              <w:widowControl/>
              <w:spacing w:line="500" w:lineRule="exact"/>
              <w:jc w:val="center"/>
              <w:textAlignment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11B9B121">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5.65</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25390D59">
            <w:pPr>
              <w:widowControl/>
              <w:spacing w:line="500" w:lineRule="exact"/>
              <w:jc w:val="center"/>
              <w:textAlignment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1453BB58">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20.82</w:t>
            </w:r>
          </w:p>
        </w:tc>
      </w:tr>
      <w:tr w14:paraId="51450777">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5B2E1092">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培训费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7F7035A1">
            <w:pPr>
              <w:widowControl/>
              <w:spacing w:line="500" w:lineRule="exact"/>
              <w:jc w:val="center"/>
              <w:textAlignment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5B266858">
            <w:pPr>
              <w:widowControl/>
              <w:spacing w:line="500" w:lineRule="exact"/>
              <w:jc w:val="center"/>
              <w:textAlignment w:val="center"/>
              <w:rPr>
                <w:rFonts w:cs="Times New Roman"/>
                <w:color w:val="000000"/>
                <w:sz w:val="22"/>
                <w:szCs w:val="22"/>
              </w:rPr>
            </w:pP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2239EA97">
            <w:pPr>
              <w:widowControl/>
              <w:spacing w:line="500" w:lineRule="exact"/>
              <w:jc w:val="center"/>
              <w:textAlignment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7F6B1C9A">
            <w:pPr>
              <w:widowControl/>
              <w:spacing w:line="500" w:lineRule="exact"/>
              <w:jc w:val="center"/>
              <w:textAlignment w:val="center"/>
              <w:rPr>
                <w:rFonts w:cs="Times New Roman"/>
                <w:color w:val="000000"/>
                <w:sz w:val="22"/>
                <w:szCs w:val="22"/>
              </w:rPr>
            </w:pPr>
          </w:p>
        </w:tc>
      </w:tr>
      <w:tr w14:paraId="78C51D59">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70EE8BC7">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劳务费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417489A8">
            <w:pPr>
              <w:spacing w:line="500" w:lineRule="exact"/>
              <w:jc w:val="center"/>
              <w:rPr>
                <w:rFonts w:cs="Times New Roman"/>
                <w:color w:val="000000"/>
                <w:sz w:val="22"/>
                <w:szCs w:val="22"/>
              </w:rPr>
            </w:pP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52F16C5F">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3.69</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53A652CE">
            <w:pPr>
              <w:spacing w:line="500" w:lineRule="exact"/>
              <w:jc w:val="center"/>
              <w:rPr>
                <w:rFonts w:cs="Times New Roman"/>
                <w:color w:val="000000"/>
                <w:sz w:val="22"/>
                <w:szCs w:val="22"/>
              </w:rPr>
            </w:pP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18345DE5">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15.36</w:t>
            </w:r>
          </w:p>
        </w:tc>
      </w:tr>
      <w:tr w14:paraId="66010F87">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47ED8BE3">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工会经费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4CCA61D5">
            <w:pPr>
              <w:widowControl/>
              <w:spacing w:line="500" w:lineRule="exact"/>
              <w:jc w:val="center"/>
              <w:textAlignment w:val="center"/>
              <w:rPr>
                <w:rFonts w:cs="Times New Roman"/>
                <w:color w:val="000000"/>
                <w:sz w:val="22"/>
                <w:szCs w:val="22"/>
              </w:rPr>
            </w:pPr>
            <w:r>
              <w:rPr>
                <w:rFonts w:cs="Times New Roman"/>
                <w:color w:val="000000"/>
                <w:sz w:val="22"/>
                <w:szCs w:val="22"/>
              </w:rPr>
              <w:t>4.63</w:t>
            </w: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283245E8">
            <w:pPr>
              <w:widowControl/>
              <w:spacing w:line="500" w:lineRule="exact"/>
              <w:jc w:val="center"/>
              <w:textAlignment w:val="center"/>
              <w:rPr>
                <w:rFonts w:cs="Times New Roman"/>
                <w:color w:val="000000"/>
                <w:sz w:val="22"/>
                <w:szCs w:val="22"/>
              </w:rPr>
            </w:pPr>
            <w:r>
              <w:rPr>
                <w:rFonts w:cs="Times New Roman"/>
                <w:color w:val="000000"/>
                <w:sz w:val="22"/>
                <w:szCs w:val="22"/>
              </w:rPr>
              <w:t>9.96</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108B6C5E">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4.58</w:t>
            </w: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3B5FFF6B">
            <w:pPr>
              <w:widowControl/>
              <w:spacing w:line="500" w:lineRule="exact"/>
              <w:jc w:val="center"/>
              <w:textAlignment w:val="center"/>
              <w:rPr>
                <w:rFonts w:cs="Times New Roman"/>
                <w:color w:val="000000"/>
                <w:sz w:val="22"/>
                <w:szCs w:val="22"/>
              </w:rPr>
            </w:pPr>
          </w:p>
        </w:tc>
      </w:tr>
      <w:tr w14:paraId="0641F4A4">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5BE34779">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福利费</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50CE15AB">
            <w:pPr>
              <w:widowControl/>
              <w:spacing w:line="500" w:lineRule="exact"/>
              <w:jc w:val="center"/>
              <w:textAlignment w:val="center"/>
              <w:rPr>
                <w:rFonts w:cs="Times New Roman"/>
                <w:color w:val="000000"/>
                <w:sz w:val="22"/>
                <w:szCs w:val="22"/>
              </w:rPr>
            </w:pPr>
            <w:r>
              <w:rPr>
                <w:rFonts w:cs="Times New Roman"/>
                <w:color w:val="000000"/>
                <w:sz w:val="22"/>
                <w:szCs w:val="22"/>
              </w:rPr>
              <w:t>8.66</w:t>
            </w: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381FF11D">
            <w:pPr>
              <w:widowControl/>
              <w:spacing w:line="500" w:lineRule="exact"/>
              <w:jc w:val="center"/>
              <w:textAlignment w:val="center"/>
              <w:rPr>
                <w:rFonts w:cs="Times New Roman"/>
                <w:color w:val="000000"/>
                <w:sz w:val="22"/>
                <w:szCs w:val="22"/>
              </w:rPr>
            </w:pPr>
            <w:r>
              <w:rPr>
                <w:rFonts w:cs="Times New Roman"/>
                <w:color w:val="000000"/>
                <w:sz w:val="22"/>
                <w:szCs w:val="22"/>
              </w:rPr>
              <w:t>5.87</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35BF73FA">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8.52</w:t>
            </w: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2658EFE9">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0.8</w:t>
            </w:r>
          </w:p>
        </w:tc>
      </w:tr>
      <w:tr w14:paraId="00EE9322">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21DD1E51">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其他交通费用</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5AB7CEEF">
            <w:pPr>
              <w:widowControl/>
              <w:spacing w:line="500" w:lineRule="exact"/>
              <w:jc w:val="center"/>
              <w:textAlignment w:val="center"/>
              <w:rPr>
                <w:rFonts w:cs="Times New Roman"/>
                <w:color w:val="000000"/>
                <w:sz w:val="22"/>
                <w:szCs w:val="22"/>
              </w:rPr>
            </w:pPr>
            <w:r>
              <w:rPr>
                <w:rFonts w:cs="Times New Roman"/>
                <w:color w:val="000000"/>
                <w:sz w:val="22"/>
                <w:szCs w:val="22"/>
              </w:rPr>
              <w:t>41.59</w:t>
            </w: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61CFBB4E">
            <w:pPr>
              <w:widowControl/>
              <w:spacing w:line="500" w:lineRule="exact"/>
              <w:jc w:val="center"/>
              <w:textAlignment w:val="center"/>
              <w:rPr>
                <w:rFonts w:cs="Times New Roman"/>
                <w:color w:val="000000"/>
                <w:sz w:val="22"/>
                <w:szCs w:val="22"/>
              </w:rPr>
            </w:pPr>
            <w:r>
              <w:rPr>
                <w:rFonts w:cs="Times New Roman"/>
                <w:color w:val="000000"/>
                <w:sz w:val="22"/>
                <w:szCs w:val="22"/>
              </w:rPr>
              <w:t>42</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6A4C6770">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40.81</w:t>
            </w: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79822FFE">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38.83</w:t>
            </w:r>
          </w:p>
        </w:tc>
      </w:tr>
      <w:tr w14:paraId="4C8714B0">
        <w:tblPrEx>
          <w:tblCellMar>
            <w:top w:w="0" w:type="dxa"/>
            <w:left w:w="108" w:type="dxa"/>
            <w:bottom w:w="0" w:type="dxa"/>
            <w:right w:w="108" w:type="dxa"/>
          </w:tblCellMar>
        </w:tblPrEx>
        <w:trPr>
          <w:trHeight w:val="300"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47FFFF63">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其他商品和服务支出</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1F2A67A7">
            <w:pPr>
              <w:widowControl/>
              <w:spacing w:line="500" w:lineRule="exact"/>
              <w:jc w:val="center"/>
              <w:textAlignment w:val="center"/>
              <w:rPr>
                <w:rFonts w:cs="Times New Roman"/>
                <w:color w:val="000000"/>
                <w:sz w:val="22"/>
                <w:szCs w:val="22"/>
              </w:rPr>
            </w:pPr>
            <w:r>
              <w:rPr>
                <w:rFonts w:cs="Times New Roman"/>
                <w:color w:val="000000"/>
                <w:sz w:val="22"/>
                <w:szCs w:val="22"/>
              </w:rPr>
              <w:t>23.43</w:t>
            </w: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282B7ED0">
            <w:pPr>
              <w:widowControl/>
              <w:spacing w:line="500" w:lineRule="exact"/>
              <w:jc w:val="center"/>
              <w:textAlignment w:val="center"/>
              <w:rPr>
                <w:rFonts w:cs="Times New Roman"/>
                <w:color w:val="000000"/>
                <w:sz w:val="22"/>
                <w:szCs w:val="22"/>
              </w:rPr>
            </w:pPr>
            <w:r>
              <w:rPr>
                <w:rFonts w:cs="Times New Roman"/>
                <w:color w:val="000000"/>
                <w:sz w:val="22"/>
                <w:szCs w:val="22"/>
              </w:rPr>
              <w:t>16.86</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09FAB09A">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26.21</w:t>
            </w: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14:paraId="63B89EEB">
            <w:pPr>
              <w:widowControl/>
              <w:spacing w:line="500" w:lineRule="exact"/>
              <w:jc w:val="center"/>
              <w:textAlignment w:val="center"/>
              <w:rPr>
                <w:rFonts w:hint="default" w:eastAsia="宋体" w:cs="Times New Roman"/>
                <w:color w:val="000000"/>
                <w:sz w:val="22"/>
                <w:szCs w:val="22"/>
                <w:lang w:val="en-US" w:eastAsia="zh-CN"/>
              </w:rPr>
            </w:pPr>
            <w:r>
              <w:rPr>
                <w:rFonts w:hint="eastAsia" w:cs="Times New Roman"/>
                <w:color w:val="000000"/>
                <w:sz w:val="22"/>
                <w:szCs w:val="22"/>
                <w:lang w:val="en-US" w:eastAsia="zh-CN"/>
              </w:rPr>
              <w:t>15.39</w:t>
            </w:r>
          </w:p>
        </w:tc>
      </w:tr>
      <w:tr w14:paraId="190E1A44">
        <w:tblPrEx>
          <w:tblCellMar>
            <w:top w:w="0" w:type="dxa"/>
            <w:left w:w="108" w:type="dxa"/>
            <w:bottom w:w="0" w:type="dxa"/>
            <w:right w:w="108" w:type="dxa"/>
          </w:tblCellMar>
        </w:tblPrEx>
        <w:trPr>
          <w:trHeight w:val="525"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7B18FD5F">
            <w:pPr>
              <w:widowControl/>
              <w:spacing w:line="500" w:lineRule="exact"/>
              <w:jc w:val="center"/>
              <w:textAlignment w:val="center"/>
              <w:rPr>
                <w:rFonts w:eastAsia="仿宋" w:cs="Times New Roman"/>
                <w:b/>
                <w:bCs/>
                <w:color w:val="000000"/>
                <w:sz w:val="22"/>
                <w:szCs w:val="22"/>
              </w:rPr>
            </w:pPr>
            <w:r>
              <w:rPr>
                <w:rFonts w:eastAsia="仿宋" w:cs="Times New Roman"/>
                <w:b/>
                <w:bCs/>
                <w:color w:val="000000"/>
                <w:kern w:val="0"/>
                <w:sz w:val="22"/>
                <w:szCs w:val="22"/>
                <w:lang w:bidi="ar"/>
              </w:rPr>
              <w:t>政府采购金额</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652D9D05">
            <w:pPr>
              <w:widowControl/>
              <w:spacing w:line="500" w:lineRule="exact"/>
              <w:jc w:val="center"/>
              <w:textAlignment w:val="center"/>
              <w:rPr>
                <w:rFonts w:cs="Times New Roman"/>
                <w:b/>
                <w:bCs/>
                <w:color w:val="000000"/>
                <w:sz w:val="22"/>
                <w:szCs w:val="22"/>
              </w:rPr>
            </w:pPr>
            <w:r>
              <w:rPr>
                <w:rFonts w:cs="Times New Roman"/>
                <w:b/>
                <w:bCs/>
                <w:color w:val="000000"/>
                <w:kern w:val="0"/>
                <w:sz w:val="22"/>
                <w:szCs w:val="22"/>
                <w:lang w:bidi="ar"/>
              </w:rPr>
              <w:t>——</w:t>
            </w: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040DA186">
            <w:pPr>
              <w:widowControl/>
              <w:spacing w:line="500" w:lineRule="exact"/>
              <w:jc w:val="center"/>
              <w:textAlignment w:val="center"/>
              <w:rPr>
                <w:rFonts w:cs="Times New Roman"/>
                <w:b/>
                <w:bCs/>
                <w:color w:val="000000"/>
                <w:sz w:val="22"/>
                <w:szCs w:val="22"/>
              </w:rPr>
            </w:pPr>
            <w:r>
              <w:rPr>
                <w:rFonts w:cs="Times New Roman"/>
                <w:b/>
                <w:bCs/>
                <w:color w:val="000000"/>
                <w:kern w:val="0"/>
                <w:sz w:val="22"/>
                <w:szCs w:val="22"/>
                <w:lang w:bidi="ar"/>
              </w:rPr>
              <w:t>——</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7191EF48">
            <w:pPr>
              <w:widowControl/>
              <w:spacing w:line="500" w:lineRule="exact"/>
              <w:jc w:val="center"/>
              <w:textAlignment w:val="center"/>
              <w:rPr>
                <w:rFonts w:hint="eastAsia" w:eastAsia="宋体" w:cs="Times New Roman"/>
                <w:b/>
                <w:bCs/>
                <w:color w:val="000000"/>
                <w:sz w:val="22"/>
                <w:szCs w:val="22"/>
                <w:lang w:val="en-US" w:eastAsia="zh-CN"/>
              </w:rPr>
            </w:pPr>
            <w:r>
              <w:rPr>
                <w:rFonts w:hint="eastAsia" w:cs="Times New Roman"/>
                <w:b/>
                <w:bCs/>
                <w:color w:val="000000"/>
                <w:sz w:val="22"/>
                <w:szCs w:val="22"/>
                <w:lang w:val="en-US" w:eastAsia="zh-CN"/>
              </w:rPr>
              <w:t>0</w:t>
            </w:r>
          </w:p>
        </w:tc>
        <w:tc>
          <w:tcPr>
            <w:tcW w:w="1619" w:type="dxa"/>
            <w:gridSpan w:val="2"/>
            <w:tcBorders>
              <w:top w:val="single" w:color="000000" w:sz="4" w:space="0"/>
              <w:left w:val="single" w:color="000000" w:sz="4" w:space="0"/>
              <w:bottom w:val="single" w:color="000000" w:sz="4" w:space="0"/>
              <w:right w:val="single" w:color="000000" w:sz="4" w:space="0"/>
            </w:tcBorders>
            <w:noWrap/>
            <w:vAlign w:val="center"/>
          </w:tcPr>
          <w:p w14:paraId="538CB9D1">
            <w:pPr>
              <w:widowControl/>
              <w:spacing w:line="500" w:lineRule="exact"/>
              <w:jc w:val="center"/>
              <w:textAlignment w:val="center"/>
              <w:rPr>
                <w:rFonts w:hint="default" w:eastAsia="宋体" w:cs="Times New Roman"/>
                <w:b/>
                <w:bCs/>
                <w:color w:val="000000"/>
                <w:sz w:val="24"/>
                <w:szCs w:val="24"/>
                <w:lang w:val="en-US" w:eastAsia="zh-CN"/>
              </w:rPr>
            </w:pPr>
            <w:r>
              <w:rPr>
                <w:rFonts w:hint="eastAsia" w:cs="Times New Roman"/>
                <w:b/>
                <w:bCs/>
                <w:color w:val="000000"/>
                <w:sz w:val="24"/>
                <w:szCs w:val="24"/>
                <w:lang w:val="en-US" w:eastAsia="zh-CN"/>
              </w:rPr>
              <w:t>47.14</w:t>
            </w:r>
          </w:p>
        </w:tc>
      </w:tr>
      <w:tr w14:paraId="3E1C63C7">
        <w:tblPrEx>
          <w:tblCellMar>
            <w:top w:w="0" w:type="dxa"/>
            <w:left w:w="108" w:type="dxa"/>
            <w:bottom w:w="0" w:type="dxa"/>
            <w:right w:w="108" w:type="dxa"/>
          </w:tblCellMar>
        </w:tblPrEx>
        <w:trPr>
          <w:trHeight w:val="525"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240FCAB6">
            <w:pPr>
              <w:widowControl/>
              <w:spacing w:line="500" w:lineRule="exact"/>
              <w:jc w:val="center"/>
              <w:textAlignment w:val="center"/>
              <w:rPr>
                <w:rFonts w:eastAsia="仿宋" w:cs="Times New Roman"/>
                <w:b/>
                <w:bCs/>
                <w:color w:val="000000"/>
                <w:sz w:val="22"/>
                <w:szCs w:val="22"/>
              </w:rPr>
            </w:pPr>
            <w:r>
              <w:rPr>
                <w:rFonts w:eastAsia="仿宋" w:cs="Times New Roman"/>
                <w:b/>
                <w:bCs/>
                <w:color w:val="000000"/>
                <w:kern w:val="0"/>
                <w:sz w:val="22"/>
                <w:szCs w:val="22"/>
                <w:lang w:bidi="ar"/>
              </w:rPr>
              <w:t>部门整体支出预算调整</w:t>
            </w:r>
          </w:p>
        </w:tc>
        <w:tc>
          <w:tcPr>
            <w:tcW w:w="1818" w:type="dxa"/>
            <w:tcBorders>
              <w:top w:val="single" w:color="000000" w:sz="4" w:space="0"/>
              <w:left w:val="single" w:color="000000" w:sz="4" w:space="0"/>
              <w:bottom w:val="single" w:color="000000" w:sz="4" w:space="0"/>
              <w:right w:val="single" w:color="000000" w:sz="4" w:space="0"/>
            </w:tcBorders>
            <w:noWrap w:val="0"/>
            <w:vAlign w:val="center"/>
          </w:tcPr>
          <w:p w14:paraId="68F41C85">
            <w:pPr>
              <w:widowControl/>
              <w:spacing w:line="500" w:lineRule="exact"/>
              <w:jc w:val="center"/>
              <w:textAlignment w:val="center"/>
              <w:rPr>
                <w:rFonts w:cs="Times New Roman"/>
                <w:b/>
                <w:bCs/>
                <w:color w:val="000000"/>
                <w:sz w:val="22"/>
                <w:szCs w:val="22"/>
              </w:rPr>
            </w:pPr>
            <w:r>
              <w:rPr>
                <w:rFonts w:cs="Times New Roman"/>
                <w:b/>
                <w:bCs/>
                <w:color w:val="000000"/>
                <w:kern w:val="0"/>
                <w:sz w:val="22"/>
                <w:szCs w:val="22"/>
                <w:lang w:bidi="ar"/>
              </w:rPr>
              <w:t>——</w:t>
            </w:r>
          </w:p>
        </w:tc>
        <w:tc>
          <w:tcPr>
            <w:tcW w:w="1663" w:type="dxa"/>
            <w:gridSpan w:val="2"/>
            <w:tcBorders>
              <w:top w:val="single" w:color="000000" w:sz="4" w:space="0"/>
              <w:left w:val="single" w:color="000000" w:sz="4" w:space="0"/>
              <w:bottom w:val="single" w:color="000000" w:sz="4" w:space="0"/>
              <w:right w:val="single" w:color="000000" w:sz="4" w:space="0"/>
            </w:tcBorders>
            <w:noWrap w:val="0"/>
            <w:vAlign w:val="center"/>
          </w:tcPr>
          <w:p w14:paraId="411879FD">
            <w:pPr>
              <w:widowControl/>
              <w:spacing w:line="500" w:lineRule="exact"/>
              <w:jc w:val="center"/>
              <w:textAlignment w:val="center"/>
              <w:rPr>
                <w:rFonts w:cs="Times New Roman"/>
                <w:b/>
                <w:bCs/>
                <w:color w:val="000000"/>
                <w:sz w:val="22"/>
                <w:szCs w:val="22"/>
              </w:rPr>
            </w:pPr>
            <w:r>
              <w:rPr>
                <w:rFonts w:cs="Times New Roman"/>
                <w:b/>
                <w:bCs/>
                <w:color w:val="000000"/>
                <w:kern w:val="0"/>
                <w:sz w:val="22"/>
                <w:szCs w:val="22"/>
                <w:lang w:bidi="ar"/>
              </w:rPr>
              <w:t>——</w:t>
            </w:r>
          </w:p>
        </w:tc>
        <w:tc>
          <w:tcPr>
            <w:tcW w:w="1650" w:type="dxa"/>
            <w:gridSpan w:val="2"/>
            <w:tcBorders>
              <w:top w:val="single" w:color="000000" w:sz="4" w:space="0"/>
              <w:left w:val="single" w:color="000000" w:sz="4" w:space="0"/>
              <w:bottom w:val="single" w:color="000000" w:sz="4" w:space="0"/>
              <w:right w:val="single" w:color="000000" w:sz="4" w:space="0"/>
            </w:tcBorders>
            <w:noWrap w:val="0"/>
            <w:vAlign w:val="center"/>
          </w:tcPr>
          <w:p w14:paraId="5E482105">
            <w:pPr>
              <w:widowControl/>
              <w:spacing w:line="500" w:lineRule="exact"/>
              <w:jc w:val="center"/>
              <w:textAlignment w:val="center"/>
              <w:rPr>
                <w:rFonts w:cs="Times New Roman"/>
                <w:b/>
                <w:bCs/>
                <w:color w:val="000000"/>
                <w:sz w:val="22"/>
                <w:szCs w:val="22"/>
              </w:rPr>
            </w:pPr>
            <w:r>
              <w:rPr>
                <w:rFonts w:hint="eastAsia" w:cs="Times New Roman"/>
                <w:b/>
                <w:bCs/>
                <w:color w:val="000000"/>
                <w:sz w:val="22"/>
                <w:szCs w:val="22"/>
                <w:lang w:val="en-US" w:eastAsia="zh-CN"/>
              </w:rPr>
              <w:t>1553.34</w:t>
            </w:r>
          </w:p>
        </w:tc>
        <w:tc>
          <w:tcPr>
            <w:tcW w:w="1619" w:type="dxa"/>
            <w:gridSpan w:val="2"/>
            <w:tcBorders>
              <w:top w:val="single" w:color="000000" w:sz="4" w:space="0"/>
              <w:left w:val="single" w:color="000000" w:sz="4" w:space="0"/>
              <w:bottom w:val="single" w:color="000000" w:sz="4" w:space="0"/>
              <w:right w:val="single" w:color="000000" w:sz="4" w:space="0"/>
            </w:tcBorders>
            <w:noWrap/>
            <w:vAlign w:val="center"/>
          </w:tcPr>
          <w:p w14:paraId="2AE2C893">
            <w:pPr>
              <w:widowControl/>
              <w:spacing w:line="500" w:lineRule="exact"/>
              <w:jc w:val="center"/>
              <w:textAlignment w:val="center"/>
              <w:rPr>
                <w:rFonts w:hint="default" w:eastAsia="宋体" w:cs="Times New Roman"/>
                <w:b/>
                <w:bCs/>
                <w:color w:val="000000"/>
                <w:sz w:val="24"/>
                <w:szCs w:val="24"/>
                <w:lang w:val="en-US" w:eastAsia="zh-CN"/>
              </w:rPr>
            </w:pPr>
            <w:r>
              <w:rPr>
                <w:rFonts w:hint="eastAsia" w:cs="Times New Roman"/>
                <w:b/>
                <w:bCs/>
                <w:color w:val="000000"/>
                <w:sz w:val="24"/>
                <w:szCs w:val="24"/>
                <w:lang w:val="en-US" w:eastAsia="zh-CN"/>
              </w:rPr>
              <w:t>1084.44</w:t>
            </w:r>
          </w:p>
        </w:tc>
      </w:tr>
      <w:tr w14:paraId="5F779EB3">
        <w:tblPrEx>
          <w:tblCellMar>
            <w:top w:w="0" w:type="dxa"/>
            <w:left w:w="108" w:type="dxa"/>
            <w:bottom w:w="0" w:type="dxa"/>
            <w:right w:w="108" w:type="dxa"/>
          </w:tblCellMar>
        </w:tblPrEx>
        <w:trPr>
          <w:trHeight w:val="525" w:hRule="atLeast"/>
          <w:jc w:val="center"/>
        </w:trPr>
        <w:tc>
          <w:tcPr>
            <w:tcW w:w="3036" w:type="dxa"/>
            <w:vMerge w:val="restart"/>
            <w:tcBorders>
              <w:top w:val="single" w:color="000000" w:sz="4" w:space="0"/>
              <w:left w:val="single" w:color="000000" w:sz="4" w:space="0"/>
              <w:bottom w:val="single" w:color="000000" w:sz="4" w:space="0"/>
              <w:right w:val="single" w:color="000000" w:sz="4" w:space="0"/>
            </w:tcBorders>
            <w:noWrap w:val="0"/>
            <w:vAlign w:val="center"/>
          </w:tcPr>
          <w:p w14:paraId="538495D0">
            <w:pPr>
              <w:widowControl/>
              <w:spacing w:line="500" w:lineRule="exact"/>
              <w:jc w:val="center"/>
              <w:textAlignment w:val="center"/>
              <w:rPr>
                <w:rFonts w:eastAsia="仿宋" w:cs="Times New Roman"/>
                <w:b/>
                <w:bCs/>
                <w:color w:val="000000"/>
                <w:kern w:val="0"/>
                <w:sz w:val="22"/>
                <w:szCs w:val="22"/>
                <w:lang w:bidi="ar"/>
              </w:rPr>
            </w:pPr>
            <w:r>
              <w:rPr>
                <w:rFonts w:eastAsia="仿宋" w:cs="Times New Roman"/>
                <w:b/>
                <w:bCs/>
                <w:color w:val="000000"/>
                <w:kern w:val="0"/>
                <w:sz w:val="22"/>
                <w:szCs w:val="22"/>
                <w:lang w:bidi="ar"/>
              </w:rPr>
              <w:t>楼堂馆所控制情况</w:t>
            </w:r>
          </w:p>
          <w:p w14:paraId="4A0EEB5D">
            <w:pPr>
              <w:widowControl/>
              <w:spacing w:line="500" w:lineRule="exact"/>
              <w:jc w:val="center"/>
              <w:textAlignment w:val="center"/>
              <w:rPr>
                <w:rFonts w:eastAsia="仿宋" w:cs="Times New Roman"/>
                <w:b/>
                <w:bCs/>
                <w:color w:val="000000"/>
                <w:sz w:val="22"/>
                <w:szCs w:val="22"/>
              </w:rPr>
            </w:pPr>
            <w:r>
              <w:rPr>
                <w:rFonts w:eastAsia="仿宋" w:cs="Times New Roman"/>
                <w:b/>
                <w:bCs/>
                <w:color w:val="000000"/>
                <w:kern w:val="0"/>
                <w:sz w:val="22"/>
                <w:szCs w:val="22"/>
                <w:lang w:bidi="ar"/>
              </w:rPr>
              <w:t>（    年完工项目）</w:t>
            </w:r>
          </w:p>
        </w:tc>
        <w:tc>
          <w:tcPr>
            <w:tcW w:w="1818" w:type="dxa"/>
            <w:vMerge w:val="restart"/>
            <w:tcBorders>
              <w:top w:val="single" w:color="000000" w:sz="4" w:space="0"/>
              <w:left w:val="single" w:color="000000" w:sz="4" w:space="0"/>
              <w:bottom w:val="single" w:color="000000" w:sz="4" w:space="0"/>
              <w:right w:val="single" w:color="000000" w:sz="4" w:space="0"/>
            </w:tcBorders>
            <w:noWrap w:val="0"/>
            <w:vAlign w:val="center"/>
          </w:tcPr>
          <w:p w14:paraId="6EFB12F9">
            <w:pPr>
              <w:widowControl/>
              <w:spacing w:line="500" w:lineRule="exact"/>
              <w:jc w:val="center"/>
              <w:textAlignment w:val="center"/>
              <w:rPr>
                <w:rFonts w:eastAsia="仿宋" w:cs="Times New Roman"/>
                <w:color w:val="000000"/>
                <w:sz w:val="22"/>
                <w:szCs w:val="22"/>
              </w:rPr>
            </w:pPr>
            <w:r>
              <w:rPr>
                <w:rFonts w:eastAsia="仿宋" w:cs="Times New Roman"/>
                <w:color w:val="000000"/>
                <w:kern w:val="0"/>
                <w:sz w:val="22"/>
                <w:szCs w:val="22"/>
                <w:lang w:bidi="ar"/>
              </w:rPr>
              <w:t>无</w:t>
            </w:r>
          </w:p>
        </w:tc>
        <w:tc>
          <w:tcPr>
            <w:tcW w:w="930" w:type="dxa"/>
            <w:vMerge w:val="restart"/>
            <w:tcBorders>
              <w:top w:val="single" w:color="000000" w:sz="4" w:space="0"/>
              <w:left w:val="single" w:color="000000" w:sz="4" w:space="0"/>
              <w:bottom w:val="single" w:color="000000" w:sz="4" w:space="0"/>
              <w:right w:val="single" w:color="000000" w:sz="4" w:space="0"/>
            </w:tcBorders>
            <w:noWrap w:val="0"/>
            <w:vAlign w:val="center"/>
          </w:tcPr>
          <w:p w14:paraId="1A5616E0">
            <w:pPr>
              <w:widowControl/>
              <w:spacing w:line="500" w:lineRule="exact"/>
              <w:jc w:val="center"/>
              <w:textAlignment w:val="center"/>
              <w:rPr>
                <w:rFonts w:eastAsia="仿宋" w:cs="Times New Roman"/>
                <w:color w:val="000000"/>
                <w:sz w:val="20"/>
                <w:szCs w:val="20"/>
              </w:rPr>
            </w:pPr>
            <w:r>
              <w:rPr>
                <w:rFonts w:eastAsia="仿宋" w:cs="Times New Roman"/>
                <w:color w:val="000000"/>
                <w:kern w:val="0"/>
                <w:sz w:val="20"/>
                <w:szCs w:val="20"/>
                <w:lang w:bidi="ar"/>
              </w:rPr>
              <w:t>批复规模（㎡）</w:t>
            </w:r>
          </w:p>
        </w:tc>
        <w:tc>
          <w:tcPr>
            <w:tcW w:w="733" w:type="dxa"/>
            <w:vMerge w:val="restart"/>
            <w:tcBorders>
              <w:top w:val="single" w:color="000000" w:sz="4" w:space="0"/>
              <w:left w:val="single" w:color="000000" w:sz="4" w:space="0"/>
              <w:bottom w:val="single" w:color="000000" w:sz="4" w:space="0"/>
              <w:right w:val="single" w:color="000000" w:sz="4" w:space="0"/>
            </w:tcBorders>
            <w:noWrap w:val="0"/>
            <w:vAlign w:val="center"/>
          </w:tcPr>
          <w:p w14:paraId="56ACE2A1">
            <w:pPr>
              <w:widowControl/>
              <w:spacing w:line="500" w:lineRule="exact"/>
              <w:jc w:val="center"/>
              <w:textAlignment w:val="center"/>
              <w:rPr>
                <w:rFonts w:eastAsia="仿宋" w:cs="Times New Roman"/>
                <w:color w:val="000000"/>
                <w:sz w:val="20"/>
                <w:szCs w:val="20"/>
              </w:rPr>
            </w:pPr>
            <w:r>
              <w:rPr>
                <w:rFonts w:eastAsia="仿宋" w:cs="Times New Roman"/>
                <w:color w:val="000000"/>
                <w:kern w:val="0"/>
                <w:sz w:val="20"/>
                <w:szCs w:val="20"/>
                <w:lang w:bidi="ar"/>
              </w:rPr>
              <w:t>实际规模（㎡）</w:t>
            </w: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5F37CD">
            <w:pPr>
              <w:widowControl/>
              <w:spacing w:line="500" w:lineRule="exact"/>
              <w:jc w:val="center"/>
              <w:textAlignment w:val="center"/>
              <w:rPr>
                <w:rFonts w:eastAsia="仿宋" w:cs="Times New Roman"/>
                <w:color w:val="000000"/>
                <w:kern w:val="0"/>
                <w:sz w:val="20"/>
                <w:szCs w:val="20"/>
                <w:lang w:bidi="ar"/>
              </w:rPr>
            </w:pPr>
            <w:r>
              <w:rPr>
                <w:rFonts w:eastAsia="仿宋" w:cs="Times New Roman"/>
                <w:color w:val="000000"/>
                <w:kern w:val="0"/>
                <w:sz w:val="20"/>
                <w:szCs w:val="20"/>
                <w:lang w:bidi="ar"/>
              </w:rPr>
              <w:t>规模</w:t>
            </w:r>
          </w:p>
          <w:p w14:paraId="03BF27AE">
            <w:pPr>
              <w:widowControl/>
              <w:spacing w:line="500" w:lineRule="exact"/>
              <w:jc w:val="center"/>
              <w:textAlignment w:val="center"/>
              <w:rPr>
                <w:rFonts w:eastAsia="仿宋" w:cs="Times New Roman"/>
                <w:color w:val="000000"/>
                <w:kern w:val="0"/>
                <w:sz w:val="20"/>
                <w:szCs w:val="20"/>
                <w:lang w:bidi="ar"/>
              </w:rPr>
            </w:pPr>
            <w:r>
              <w:rPr>
                <w:rFonts w:eastAsia="仿宋" w:cs="Times New Roman"/>
                <w:kern w:val="0"/>
                <w:sz w:val="20"/>
                <w:szCs w:val="20"/>
              </w:rPr>
              <w:t>控制率</w:t>
            </w:r>
          </w:p>
        </w:tc>
        <w:tc>
          <w:tcPr>
            <w:tcW w:w="569" w:type="dxa"/>
            <w:vMerge w:val="restart"/>
            <w:tcBorders>
              <w:top w:val="single" w:color="000000" w:sz="4" w:space="0"/>
              <w:left w:val="single" w:color="000000" w:sz="4" w:space="0"/>
              <w:bottom w:val="single" w:color="000000" w:sz="4" w:space="0"/>
              <w:right w:val="single" w:color="000000" w:sz="4" w:space="0"/>
            </w:tcBorders>
            <w:noWrap w:val="0"/>
            <w:vAlign w:val="center"/>
          </w:tcPr>
          <w:p w14:paraId="5EBA2BB9">
            <w:pPr>
              <w:widowControl/>
              <w:spacing w:line="500" w:lineRule="exact"/>
              <w:jc w:val="center"/>
              <w:textAlignment w:val="center"/>
              <w:rPr>
                <w:rFonts w:eastAsia="仿宋" w:cs="Times New Roman"/>
                <w:color w:val="000000"/>
                <w:sz w:val="20"/>
                <w:szCs w:val="20"/>
              </w:rPr>
            </w:pPr>
            <w:r>
              <w:rPr>
                <w:rFonts w:eastAsia="仿宋" w:cs="Times New Roman"/>
                <w:color w:val="000000"/>
                <w:kern w:val="0"/>
                <w:sz w:val="20"/>
                <w:szCs w:val="20"/>
                <w:lang w:bidi="ar"/>
              </w:rPr>
              <w:t>预算投资</w:t>
            </w:r>
          </w:p>
        </w:tc>
        <w:tc>
          <w:tcPr>
            <w:tcW w:w="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AC257AC">
            <w:pPr>
              <w:widowControl/>
              <w:spacing w:line="500" w:lineRule="exact"/>
              <w:jc w:val="center"/>
              <w:textAlignment w:val="center"/>
              <w:rPr>
                <w:rFonts w:eastAsia="仿宋" w:cs="Times New Roman"/>
                <w:color w:val="000000"/>
                <w:sz w:val="20"/>
                <w:szCs w:val="20"/>
              </w:rPr>
            </w:pPr>
            <w:r>
              <w:rPr>
                <w:rFonts w:eastAsia="仿宋" w:cs="Times New Roman"/>
                <w:color w:val="000000"/>
                <w:kern w:val="0"/>
                <w:sz w:val="20"/>
                <w:szCs w:val="20"/>
                <w:lang w:bidi="ar"/>
              </w:rPr>
              <w:t>实际投资</w:t>
            </w:r>
          </w:p>
        </w:tc>
        <w:tc>
          <w:tcPr>
            <w:tcW w:w="7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884096B">
            <w:pPr>
              <w:widowControl/>
              <w:spacing w:line="500" w:lineRule="exact"/>
              <w:jc w:val="center"/>
              <w:textAlignment w:val="center"/>
              <w:rPr>
                <w:rFonts w:eastAsia="仿宋" w:cs="Times New Roman"/>
                <w:color w:val="000000"/>
                <w:sz w:val="20"/>
                <w:szCs w:val="20"/>
              </w:rPr>
            </w:pPr>
            <w:r>
              <w:rPr>
                <w:rFonts w:eastAsia="仿宋" w:cs="Times New Roman"/>
                <w:color w:val="000000"/>
                <w:kern w:val="0"/>
                <w:sz w:val="20"/>
                <w:szCs w:val="20"/>
                <w:lang w:bidi="ar"/>
              </w:rPr>
              <w:t>投资概算控制率</w:t>
            </w:r>
          </w:p>
        </w:tc>
      </w:tr>
      <w:tr w14:paraId="3BC73238">
        <w:tblPrEx>
          <w:tblCellMar>
            <w:top w:w="0" w:type="dxa"/>
            <w:left w:w="108" w:type="dxa"/>
            <w:bottom w:w="0" w:type="dxa"/>
            <w:right w:w="108" w:type="dxa"/>
          </w:tblCellMar>
        </w:tblPrEx>
        <w:trPr>
          <w:trHeight w:val="500" w:hRule="atLeast"/>
          <w:jc w:val="center"/>
        </w:trPr>
        <w:tc>
          <w:tcPr>
            <w:tcW w:w="30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9E65A">
            <w:pPr>
              <w:spacing w:line="500" w:lineRule="exact"/>
              <w:jc w:val="center"/>
              <w:rPr>
                <w:rFonts w:eastAsia="仿宋" w:cs="Times New Roman"/>
                <w:b/>
                <w:bCs/>
                <w:color w:val="000000"/>
                <w:sz w:val="22"/>
                <w:szCs w:val="22"/>
              </w:rPr>
            </w:pPr>
          </w:p>
        </w:tc>
        <w:tc>
          <w:tcPr>
            <w:tcW w:w="18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D4B19">
            <w:pPr>
              <w:spacing w:line="500" w:lineRule="exact"/>
              <w:jc w:val="center"/>
              <w:rPr>
                <w:rFonts w:eastAsia="仿宋" w:cs="Times New Roman"/>
                <w:color w:val="000000"/>
                <w:sz w:val="22"/>
                <w:szCs w:val="22"/>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FC1F0">
            <w:pPr>
              <w:spacing w:line="500" w:lineRule="exact"/>
              <w:jc w:val="center"/>
              <w:rPr>
                <w:rFonts w:eastAsia="仿宋" w:cs="Times New Roman"/>
                <w:color w:val="000000"/>
                <w:sz w:val="20"/>
                <w:szCs w:val="20"/>
              </w:rPr>
            </w:pPr>
          </w:p>
        </w:tc>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7028B4">
            <w:pPr>
              <w:spacing w:line="500" w:lineRule="exact"/>
              <w:jc w:val="center"/>
              <w:rPr>
                <w:rFonts w:eastAsia="仿宋" w:cs="Times New Roman"/>
                <w:color w:val="000000"/>
                <w:sz w:val="20"/>
                <w:szCs w:val="20"/>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4FDDE">
            <w:pPr>
              <w:spacing w:line="500" w:lineRule="exact"/>
              <w:jc w:val="center"/>
              <w:rPr>
                <w:rFonts w:eastAsia="仿宋" w:cs="Times New Roman"/>
                <w:color w:val="000000"/>
                <w:sz w:val="20"/>
                <w:szCs w:val="20"/>
              </w:rPr>
            </w:pPr>
          </w:p>
        </w:tc>
        <w:tc>
          <w:tcPr>
            <w:tcW w:w="5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09C07">
            <w:pPr>
              <w:spacing w:line="500" w:lineRule="exact"/>
              <w:jc w:val="center"/>
              <w:rPr>
                <w:rFonts w:eastAsia="仿宋" w:cs="Times New Roman"/>
                <w:color w:val="000000"/>
                <w:sz w:val="20"/>
                <w:szCs w:val="20"/>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0C673">
            <w:pPr>
              <w:spacing w:line="500" w:lineRule="exact"/>
              <w:jc w:val="center"/>
              <w:rPr>
                <w:rFonts w:eastAsia="仿宋" w:cs="Times New Roman"/>
                <w:color w:val="000000"/>
                <w:sz w:val="20"/>
                <w:szCs w:val="20"/>
              </w:rPr>
            </w:pPr>
          </w:p>
        </w:tc>
        <w:tc>
          <w:tcPr>
            <w:tcW w:w="7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5B9D5D">
            <w:pPr>
              <w:spacing w:line="500" w:lineRule="exact"/>
              <w:jc w:val="center"/>
              <w:rPr>
                <w:rFonts w:eastAsia="仿宋" w:cs="Times New Roman"/>
                <w:color w:val="000000"/>
                <w:sz w:val="20"/>
                <w:szCs w:val="20"/>
              </w:rPr>
            </w:pPr>
          </w:p>
        </w:tc>
      </w:tr>
      <w:tr w14:paraId="6C031E9C">
        <w:tblPrEx>
          <w:tblCellMar>
            <w:top w:w="0" w:type="dxa"/>
            <w:left w:w="108" w:type="dxa"/>
            <w:bottom w:w="0" w:type="dxa"/>
            <w:right w:w="108" w:type="dxa"/>
          </w:tblCellMar>
        </w:tblPrEx>
        <w:trPr>
          <w:trHeight w:val="492" w:hRule="atLeast"/>
          <w:jc w:val="center"/>
        </w:trPr>
        <w:tc>
          <w:tcPr>
            <w:tcW w:w="30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3BDEE">
            <w:pPr>
              <w:spacing w:line="500" w:lineRule="exact"/>
              <w:jc w:val="center"/>
              <w:rPr>
                <w:rFonts w:eastAsia="仿宋" w:cs="Times New Roman"/>
                <w:b/>
                <w:bCs/>
                <w:color w:val="000000"/>
                <w:sz w:val="22"/>
                <w:szCs w:val="22"/>
              </w:rPr>
            </w:pPr>
          </w:p>
        </w:tc>
        <w:tc>
          <w:tcPr>
            <w:tcW w:w="18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488510">
            <w:pPr>
              <w:spacing w:line="500" w:lineRule="exact"/>
              <w:jc w:val="center"/>
              <w:rPr>
                <w:rFonts w:eastAsia="仿宋" w:cs="Times New Roman"/>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3104755">
            <w:pPr>
              <w:spacing w:line="500" w:lineRule="exact"/>
              <w:jc w:val="center"/>
              <w:rPr>
                <w:rFonts w:cs="Times New Roman"/>
                <w:color w:val="000000"/>
                <w:sz w:val="22"/>
                <w:szCs w:val="22"/>
              </w:rPr>
            </w:pP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4B438314">
            <w:pPr>
              <w:spacing w:line="500" w:lineRule="exact"/>
              <w:jc w:val="center"/>
              <w:rPr>
                <w:rFonts w:cs="Times New Roman"/>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2454D1C2">
            <w:pPr>
              <w:spacing w:line="500" w:lineRule="exact"/>
              <w:jc w:val="center"/>
              <w:rPr>
                <w:rFonts w:cs="Times New Roman"/>
                <w:color w:val="000000"/>
                <w:sz w:val="22"/>
                <w:szCs w:val="22"/>
              </w:rPr>
            </w:pPr>
          </w:p>
        </w:tc>
        <w:tc>
          <w:tcPr>
            <w:tcW w:w="569" w:type="dxa"/>
            <w:tcBorders>
              <w:top w:val="single" w:color="000000" w:sz="4" w:space="0"/>
              <w:left w:val="single" w:color="000000" w:sz="4" w:space="0"/>
              <w:bottom w:val="single" w:color="000000" w:sz="4" w:space="0"/>
              <w:right w:val="single" w:color="000000" w:sz="4" w:space="0"/>
            </w:tcBorders>
            <w:noWrap w:val="0"/>
            <w:vAlign w:val="center"/>
          </w:tcPr>
          <w:p w14:paraId="503A9A4E">
            <w:pPr>
              <w:spacing w:line="500" w:lineRule="exact"/>
              <w:jc w:val="center"/>
              <w:rPr>
                <w:rFonts w:cs="Times New Roman"/>
                <w:color w:val="000000"/>
                <w:sz w:val="22"/>
                <w:szCs w:val="22"/>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23C532B">
            <w:pPr>
              <w:spacing w:line="500" w:lineRule="exact"/>
              <w:jc w:val="center"/>
              <w:rPr>
                <w:rFonts w:cs="Times New Roman"/>
                <w:color w:val="000000"/>
                <w:sz w:val="22"/>
                <w:szCs w:val="22"/>
              </w:rPr>
            </w:pPr>
          </w:p>
        </w:tc>
        <w:tc>
          <w:tcPr>
            <w:tcW w:w="719" w:type="dxa"/>
            <w:tcBorders>
              <w:top w:val="single" w:color="000000" w:sz="4" w:space="0"/>
              <w:left w:val="single" w:color="000000" w:sz="4" w:space="0"/>
              <w:bottom w:val="single" w:color="000000" w:sz="4" w:space="0"/>
              <w:right w:val="single" w:color="000000" w:sz="4" w:space="0"/>
            </w:tcBorders>
            <w:noWrap w:val="0"/>
            <w:vAlign w:val="center"/>
          </w:tcPr>
          <w:p w14:paraId="1251E75F">
            <w:pPr>
              <w:spacing w:line="500" w:lineRule="exact"/>
              <w:jc w:val="center"/>
              <w:rPr>
                <w:rFonts w:cs="Times New Roman"/>
                <w:color w:val="000000"/>
                <w:sz w:val="22"/>
                <w:szCs w:val="22"/>
              </w:rPr>
            </w:pPr>
          </w:p>
        </w:tc>
      </w:tr>
      <w:tr w14:paraId="333C363D">
        <w:tblPrEx>
          <w:tblCellMar>
            <w:top w:w="0" w:type="dxa"/>
            <w:left w:w="108" w:type="dxa"/>
            <w:bottom w:w="0" w:type="dxa"/>
            <w:right w:w="108" w:type="dxa"/>
          </w:tblCellMar>
        </w:tblPrEx>
        <w:trPr>
          <w:trHeight w:val="1009" w:hRule="atLeast"/>
          <w:jc w:val="center"/>
        </w:trPr>
        <w:tc>
          <w:tcPr>
            <w:tcW w:w="3036" w:type="dxa"/>
            <w:tcBorders>
              <w:top w:val="single" w:color="000000" w:sz="4" w:space="0"/>
              <w:left w:val="single" w:color="000000" w:sz="4" w:space="0"/>
              <w:bottom w:val="single" w:color="000000" w:sz="4" w:space="0"/>
              <w:right w:val="single" w:color="000000" w:sz="4" w:space="0"/>
            </w:tcBorders>
            <w:noWrap w:val="0"/>
            <w:vAlign w:val="center"/>
          </w:tcPr>
          <w:p w14:paraId="3D04C038">
            <w:pPr>
              <w:widowControl/>
              <w:spacing w:line="500" w:lineRule="exact"/>
              <w:jc w:val="center"/>
              <w:textAlignment w:val="center"/>
              <w:rPr>
                <w:rFonts w:eastAsia="仿宋" w:cs="Times New Roman"/>
                <w:b/>
                <w:bCs/>
                <w:color w:val="000000"/>
                <w:sz w:val="22"/>
                <w:szCs w:val="22"/>
              </w:rPr>
            </w:pPr>
            <w:r>
              <w:rPr>
                <w:rFonts w:eastAsia="仿宋" w:cs="Times New Roman"/>
                <w:b/>
                <w:bCs/>
                <w:color w:val="000000"/>
                <w:kern w:val="0"/>
                <w:sz w:val="22"/>
                <w:szCs w:val="22"/>
                <w:lang w:bidi="ar"/>
              </w:rPr>
              <w:t>厉行节约保障措施</w:t>
            </w:r>
          </w:p>
        </w:tc>
        <w:tc>
          <w:tcPr>
            <w:tcW w:w="6750" w:type="dxa"/>
            <w:gridSpan w:val="7"/>
            <w:tcBorders>
              <w:top w:val="single" w:color="000000" w:sz="4" w:space="0"/>
              <w:left w:val="single" w:color="000000" w:sz="4" w:space="0"/>
              <w:bottom w:val="single" w:color="000000" w:sz="4" w:space="0"/>
              <w:right w:val="single" w:color="000000" w:sz="4" w:space="0"/>
            </w:tcBorders>
            <w:noWrap w:val="0"/>
            <w:vAlign w:val="center"/>
          </w:tcPr>
          <w:p w14:paraId="27DC8414">
            <w:pPr>
              <w:widowControl/>
              <w:spacing w:line="500" w:lineRule="exact"/>
              <w:jc w:val="center"/>
              <w:textAlignment w:val="center"/>
              <w:rPr>
                <w:rFonts w:eastAsia="仿宋" w:cs="Times New Roman"/>
                <w:color w:val="000000"/>
                <w:sz w:val="22"/>
                <w:szCs w:val="22"/>
              </w:rPr>
            </w:pPr>
            <w:r>
              <w:rPr>
                <w:rFonts w:hint="eastAsia" w:eastAsia="仿宋" w:cs="Times New Roman"/>
                <w:color w:val="000000"/>
                <w:kern w:val="0"/>
                <w:sz w:val="22"/>
                <w:szCs w:val="22"/>
                <w:lang w:eastAsia="zh-CN" w:bidi="ar"/>
              </w:rPr>
              <w:t>修订了</w:t>
            </w:r>
            <w:r>
              <w:rPr>
                <w:rFonts w:eastAsia="仿宋" w:cs="Times New Roman"/>
                <w:color w:val="000000"/>
                <w:kern w:val="0"/>
                <w:sz w:val="22"/>
                <w:szCs w:val="22"/>
                <w:lang w:bidi="ar"/>
              </w:rPr>
              <w:t>《关于财务报账的若干规定》、《采购办公用品、办公家具及办公设备的规定》</w:t>
            </w:r>
          </w:p>
        </w:tc>
      </w:tr>
    </w:tbl>
    <w:p w14:paraId="263691AD">
      <w:pPr>
        <w:widowControl/>
        <w:spacing w:line="560" w:lineRule="exact"/>
        <w:ind w:firstLine="640"/>
        <w:rPr>
          <w:rFonts w:eastAsia="黑体" w:cs="Times New Roman"/>
          <w:color w:val="000000"/>
          <w:sz w:val="32"/>
          <w:szCs w:val="32"/>
        </w:rPr>
      </w:pPr>
    </w:p>
    <w:p w14:paraId="5297110E">
      <w:pPr>
        <w:widowControl/>
        <w:ind w:firstLine="480" w:firstLineChars="200"/>
        <w:jc w:val="left"/>
        <w:rPr>
          <w:rFonts w:cs="Times New Roman"/>
          <w:color w:val="000000"/>
          <w:sz w:val="24"/>
          <w:szCs w:val="24"/>
        </w:rPr>
      </w:pPr>
    </w:p>
    <w:sectPr>
      <w:pgSz w:w="11906" w:h="16838"/>
      <w:pgMar w:top="2098" w:right="1418" w:bottom="1985" w:left="1531" w:header="851" w:footer="1361"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1E1FE">
    <w:pPr>
      <w:pStyle w:val="13"/>
      <w:ind w:right="280"/>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19</w:t>
    </w:r>
    <w:r>
      <w:rPr>
        <w:rFonts w:ascii="宋体" w:hAnsi="宋体"/>
        <w:sz w:val="28"/>
        <w:szCs w:val="28"/>
      </w:rPr>
      <w:fldChar w:fldCharType="end"/>
    </w:r>
    <w:r>
      <w:rPr>
        <w:rFonts w:hint="eastAsia" w:ascii="宋体" w:hAnsi="宋体"/>
        <w:sz w:val="28"/>
        <w:szCs w:val="28"/>
      </w:rPr>
      <w:t xml:space="preserve"> —</w:t>
    </w:r>
  </w:p>
  <w:p w14:paraId="2B4C9CE0">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43852">
    <w:pPr>
      <w:pStyle w:val="13"/>
      <w:ind w:firstLine="280" w:firstLineChars="100"/>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18</w:t>
    </w:r>
    <w:r>
      <w:rPr>
        <w:rFonts w:ascii="宋体" w:hAnsi="宋体"/>
        <w:sz w:val="28"/>
        <w:szCs w:val="28"/>
      </w:rPr>
      <w:fldChar w:fldCharType="end"/>
    </w:r>
    <w:r>
      <w:rPr>
        <w:rFonts w:hint="eastAsia" w:ascii="宋体" w:hAnsi="宋体"/>
        <w:sz w:val="28"/>
        <w:szCs w:val="28"/>
      </w:rPr>
      <w:t xml:space="preserve"> —</w:t>
    </w:r>
  </w:p>
  <w:p w14:paraId="1345F6EF">
    <w:pPr>
      <w:pStyle w:val="1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25DC1B"/>
    <w:multiLevelType w:val="singleLevel"/>
    <w:tmpl w:val="3F25DC1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oNotHyphenateCaps/>
  <w:evenAndOddHeaders w:val="1"/>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2Y2I0Y2VkNzFjMWI1ZTQ2MTlkYWZmODE3ZTc0MGQifQ=="/>
  </w:docVars>
  <w:rsids>
    <w:rsidRoot w:val="007974AB"/>
    <w:rsid w:val="0000298E"/>
    <w:rsid w:val="00002AE4"/>
    <w:rsid w:val="00031747"/>
    <w:rsid w:val="0003456A"/>
    <w:rsid w:val="00035C47"/>
    <w:rsid w:val="00037035"/>
    <w:rsid w:val="000469BA"/>
    <w:rsid w:val="000516DC"/>
    <w:rsid w:val="00053F71"/>
    <w:rsid w:val="000552F3"/>
    <w:rsid w:val="00056B04"/>
    <w:rsid w:val="00070B5F"/>
    <w:rsid w:val="00071347"/>
    <w:rsid w:val="00072AEB"/>
    <w:rsid w:val="000747B8"/>
    <w:rsid w:val="00075715"/>
    <w:rsid w:val="00083406"/>
    <w:rsid w:val="00085A99"/>
    <w:rsid w:val="00087EA5"/>
    <w:rsid w:val="00091B80"/>
    <w:rsid w:val="00092609"/>
    <w:rsid w:val="000A226C"/>
    <w:rsid w:val="000A6E3A"/>
    <w:rsid w:val="000B1FC2"/>
    <w:rsid w:val="000D6179"/>
    <w:rsid w:val="000E240C"/>
    <w:rsid w:val="000E35F0"/>
    <w:rsid w:val="000F21D6"/>
    <w:rsid w:val="000F61BE"/>
    <w:rsid w:val="000F73AE"/>
    <w:rsid w:val="001062E8"/>
    <w:rsid w:val="00112EB7"/>
    <w:rsid w:val="00114AFB"/>
    <w:rsid w:val="001167EB"/>
    <w:rsid w:val="00121B82"/>
    <w:rsid w:val="00122D73"/>
    <w:rsid w:val="0013478D"/>
    <w:rsid w:val="001415B7"/>
    <w:rsid w:val="00145A6A"/>
    <w:rsid w:val="0014663A"/>
    <w:rsid w:val="001536DE"/>
    <w:rsid w:val="00154840"/>
    <w:rsid w:val="00160267"/>
    <w:rsid w:val="00160613"/>
    <w:rsid w:val="00160B34"/>
    <w:rsid w:val="0016425E"/>
    <w:rsid w:val="00167BE7"/>
    <w:rsid w:val="00176C58"/>
    <w:rsid w:val="00180DA0"/>
    <w:rsid w:val="00181657"/>
    <w:rsid w:val="00182289"/>
    <w:rsid w:val="00190E24"/>
    <w:rsid w:val="00191FD7"/>
    <w:rsid w:val="0019209D"/>
    <w:rsid w:val="00197BA7"/>
    <w:rsid w:val="001A5697"/>
    <w:rsid w:val="001A64A0"/>
    <w:rsid w:val="001B465B"/>
    <w:rsid w:val="001C15DF"/>
    <w:rsid w:val="001C7486"/>
    <w:rsid w:val="001D65E5"/>
    <w:rsid w:val="001D6602"/>
    <w:rsid w:val="001E4F39"/>
    <w:rsid w:val="001E5B80"/>
    <w:rsid w:val="001E6BFE"/>
    <w:rsid w:val="001F3794"/>
    <w:rsid w:val="001F6D73"/>
    <w:rsid w:val="00205440"/>
    <w:rsid w:val="002102DB"/>
    <w:rsid w:val="002129C1"/>
    <w:rsid w:val="00214D7C"/>
    <w:rsid w:val="00221B76"/>
    <w:rsid w:val="00222E30"/>
    <w:rsid w:val="00225256"/>
    <w:rsid w:val="002305A2"/>
    <w:rsid w:val="00231C6E"/>
    <w:rsid w:val="00232F9D"/>
    <w:rsid w:val="0023666C"/>
    <w:rsid w:val="002367FF"/>
    <w:rsid w:val="00243D27"/>
    <w:rsid w:val="00254482"/>
    <w:rsid w:val="00261A82"/>
    <w:rsid w:val="0026227A"/>
    <w:rsid w:val="00267EB4"/>
    <w:rsid w:val="00273F87"/>
    <w:rsid w:val="00286A75"/>
    <w:rsid w:val="00291511"/>
    <w:rsid w:val="00292E06"/>
    <w:rsid w:val="002A1611"/>
    <w:rsid w:val="002A336C"/>
    <w:rsid w:val="002A3ED2"/>
    <w:rsid w:val="002A4788"/>
    <w:rsid w:val="002B12CB"/>
    <w:rsid w:val="002B1E16"/>
    <w:rsid w:val="002B2BEF"/>
    <w:rsid w:val="002B778F"/>
    <w:rsid w:val="002C064D"/>
    <w:rsid w:val="002D6D4A"/>
    <w:rsid w:val="002E1DF4"/>
    <w:rsid w:val="002E2367"/>
    <w:rsid w:val="002E4944"/>
    <w:rsid w:val="002F7643"/>
    <w:rsid w:val="00303890"/>
    <w:rsid w:val="003053A5"/>
    <w:rsid w:val="0031038E"/>
    <w:rsid w:val="003134F7"/>
    <w:rsid w:val="00313CA6"/>
    <w:rsid w:val="00317AB2"/>
    <w:rsid w:val="00324952"/>
    <w:rsid w:val="00332598"/>
    <w:rsid w:val="00341012"/>
    <w:rsid w:val="00342BE8"/>
    <w:rsid w:val="00344B65"/>
    <w:rsid w:val="00344BD5"/>
    <w:rsid w:val="00344CA7"/>
    <w:rsid w:val="00345B18"/>
    <w:rsid w:val="00346169"/>
    <w:rsid w:val="003478B2"/>
    <w:rsid w:val="00351E0E"/>
    <w:rsid w:val="00362473"/>
    <w:rsid w:val="00362E31"/>
    <w:rsid w:val="00372621"/>
    <w:rsid w:val="00374987"/>
    <w:rsid w:val="0038212B"/>
    <w:rsid w:val="00383377"/>
    <w:rsid w:val="00383992"/>
    <w:rsid w:val="00392B58"/>
    <w:rsid w:val="00394ABB"/>
    <w:rsid w:val="003A0461"/>
    <w:rsid w:val="003A4ACA"/>
    <w:rsid w:val="003A7FDD"/>
    <w:rsid w:val="003B23EB"/>
    <w:rsid w:val="003B2F4F"/>
    <w:rsid w:val="003B7FA2"/>
    <w:rsid w:val="003D3DB7"/>
    <w:rsid w:val="003D4854"/>
    <w:rsid w:val="003E3CB2"/>
    <w:rsid w:val="003E52E4"/>
    <w:rsid w:val="00404BE5"/>
    <w:rsid w:val="00410AE1"/>
    <w:rsid w:val="00410FF6"/>
    <w:rsid w:val="00411330"/>
    <w:rsid w:val="00412456"/>
    <w:rsid w:val="00417BC1"/>
    <w:rsid w:val="0042330A"/>
    <w:rsid w:val="00427D9D"/>
    <w:rsid w:val="00430DC1"/>
    <w:rsid w:val="00431F52"/>
    <w:rsid w:val="00434B10"/>
    <w:rsid w:val="00446CFB"/>
    <w:rsid w:val="004506ED"/>
    <w:rsid w:val="004527DA"/>
    <w:rsid w:val="004561C6"/>
    <w:rsid w:val="004621CC"/>
    <w:rsid w:val="00464073"/>
    <w:rsid w:val="00473D54"/>
    <w:rsid w:val="00477B78"/>
    <w:rsid w:val="00481926"/>
    <w:rsid w:val="00482DA2"/>
    <w:rsid w:val="00483F92"/>
    <w:rsid w:val="004948B2"/>
    <w:rsid w:val="00496F6D"/>
    <w:rsid w:val="004A0757"/>
    <w:rsid w:val="004B09F8"/>
    <w:rsid w:val="004B56B4"/>
    <w:rsid w:val="004C2AEE"/>
    <w:rsid w:val="004D5F90"/>
    <w:rsid w:val="004E1AF5"/>
    <w:rsid w:val="004E2593"/>
    <w:rsid w:val="004E394D"/>
    <w:rsid w:val="004E6E44"/>
    <w:rsid w:val="004F4E0C"/>
    <w:rsid w:val="004F53C1"/>
    <w:rsid w:val="00505F55"/>
    <w:rsid w:val="00507BC7"/>
    <w:rsid w:val="00510B86"/>
    <w:rsid w:val="00515340"/>
    <w:rsid w:val="00536A21"/>
    <w:rsid w:val="005377C3"/>
    <w:rsid w:val="00542882"/>
    <w:rsid w:val="005438D0"/>
    <w:rsid w:val="0054486C"/>
    <w:rsid w:val="005473E0"/>
    <w:rsid w:val="0055022D"/>
    <w:rsid w:val="00550C9A"/>
    <w:rsid w:val="00553BA4"/>
    <w:rsid w:val="0057789D"/>
    <w:rsid w:val="00585BED"/>
    <w:rsid w:val="00587C92"/>
    <w:rsid w:val="005916AB"/>
    <w:rsid w:val="00591928"/>
    <w:rsid w:val="00592496"/>
    <w:rsid w:val="00593595"/>
    <w:rsid w:val="005A3424"/>
    <w:rsid w:val="005A662C"/>
    <w:rsid w:val="005A6E3C"/>
    <w:rsid w:val="005B70C2"/>
    <w:rsid w:val="005C488D"/>
    <w:rsid w:val="005C60E3"/>
    <w:rsid w:val="005C6D48"/>
    <w:rsid w:val="005C778B"/>
    <w:rsid w:val="005D5007"/>
    <w:rsid w:val="005D50CB"/>
    <w:rsid w:val="005E0ACC"/>
    <w:rsid w:val="005E0C80"/>
    <w:rsid w:val="005E63A3"/>
    <w:rsid w:val="005F1452"/>
    <w:rsid w:val="005F1576"/>
    <w:rsid w:val="005F247D"/>
    <w:rsid w:val="005F2E6C"/>
    <w:rsid w:val="005F7156"/>
    <w:rsid w:val="006024A8"/>
    <w:rsid w:val="00604546"/>
    <w:rsid w:val="0061181B"/>
    <w:rsid w:val="00613C56"/>
    <w:rsid w:val="0061768E"/>
    <w:rsid w:val="00620930"/>
    <w:rsid w:val="00640E29"/>
    <w:rsid w:val="006412C9"/>
    <w:rsid w:val="006477FB"/>
    <w:rsid w:val="00655F15"/>
    <w:rsid w:val="00661AED"/>
    <w:rsid w:val="0066304C"/>
    <w:rsid w:val="00664139"/>
    <w:rsid w:val="00666EBB"/>
    <w:rsid w:val="00671561"/>
    <w:rsid w:val="00672718"/>
    <w:rsid w:val="006769A7"/>
    <w:rsid w:val="00676BCC"/>
    <w:rsid w:val="0067774C"/>
    <w:rsid w:val="00682EDF"/>
    <w:rsid w:val="00683649"/>
    <w:rsid w:val="006858E7"/>
    <w:rsid w:val="00686123"/>
    <w:rsid w:val="00687554"/>
    <w:rsid w:val="00693448"/>
    <w:rsid w:val="00695008"/>
    <w:rsid w:val="006A3A89"/>
    <w:rsid w:val="006A6FDC"/>
    <w:rsid w:val="006C0120"/>
    <w:rsid w:val="006C3E4B"/>
    <w:rsid w:val="006C5D54"/>
    <w:rsid w:val="006D0B0B"/>
    <w:rsid w:val="006D0B89"/>
    <w:rsid w:val="006E4E54"/>
    <w:rsid w:val="006F1419"/>
    <w:rsid w:val="00700CD4"/>
    <w:rsid w:val="00701DF4"/>
    <w:rsid w:val="00704174"/>
    <w:rsid w:val="00704536"/>
    <w:rsid w:val="007110E7"/>
    <w:rsid w:val="0071201B"/>
    <w:rsid w:val="00717347"/>
    <w:rsid w:val="00723411"/>
    <w:rsid w:val="00723417"/>
    <w:rsid w:val="00726EB3"/>
    <w:rsid w:val="007349D4"/>
    <w:rsid w:val="00737891"/>
    <w:rsid w:val="00754120"/>
    <w:rsid w:val="00756B93"/>
    <w:rsid w:val="0076124E"/>
    <w:rsid w:val="007707CC"/>
    <w:rsid w:val="00770932"/>
    <w:rsid w:val="0077217D"/>
    <w:rsid w:val="00784182"/>
    <w:rsid w:val="00786728"/>
    <w:rsid w:val="00786A9F"/>
    <w:rsid w:val="00793BCC"/>
    <w:rsid w:val="007974AB"/>
    <w:rsid w:val="007A0A4C"/>
    <w:rsid w:val="007A68B8"/>
    <w:rsid w:val="007B039C"/>
    <w:rsid w:val="007B13FA"/>
    <w:rsid w:val="007B46F9"/>
    <w:rsid w:val="007B4DD3"/>
    <w:rsid w:val="007B4F12"/>
    <w:rsid w:val="007B57E2"/>
    <w:rsid w:val="007B6F8C"/>
    <w:rsid w:val="007C0768"/>
    <w:rsid w:val="007C536F"/>
    <w:rsid w:val="007D16E0"/>
    <w:rsid w:val="007D5CA1"/>
    <w:rsid w:val="007D637D"/>
    <w:rsid w:val="007E3B70"/>
    <w:rsid w:val="007F05A2"/>
    <w:rsid w:val="007F1ED1"/>
    <w:rsid w:val="007F7875"/>
    <w:rsid w:val="00800AE0"/>
    <w:rsid w:val="008059D7"/>
    <w:rsid w:val="00805C9E"/>
    <w:rsid w:val="00827E67"/>
    <w:rsid w:val="0083050D"/>
    <w:rsid w:val="00832102"/>
    <w:rsid w:val="008322BB"/>
    <w:rsid w:val="00833FA8"/>
    <w:rsid w:val="008442A9"/>
    <w:rsid w:val="0084564C"/>
    <w:rsid w:val="00847DE1"/>
    <w:rsid w:val="00851F1E"/>
    <w:rsid w:val="008547F9"/>
    <w:rsid w:val="008662AB"/>
    <w:rsid w:val="00867DE4"/>
    <w:rsid w:val="00885497"/>
    <w:rsid w:val="008862A7"/>
    <w:rsid w:val="00892869"/>
    <w:rsid w:val="008B03AA"/>
    <w:rsid w:val="008B1FF5"/>
    <w:rsid w:val="008B33CC"/>
    <w:rsid w:val="008B3530"/>
    <w:rsid w:val="008C37F5"/>
    <w:rsid w:val="008D138C"/>
    <w:rsid w:val="008D36D8"/>
    <w:rsid w:val="008D614F"/>
    <w:rsid w:val="008D7CE8"/>
    <w:rsid w:val="008E7DED"/>
    <w:rsid w:val="008F0E86"/>
    <w:rsid w:val="0090366D"/>
    <w:rsid w:val="00905011"/>
    <w:rsid w:val="00911DD8"/>
    <w:rsid w:val="00917770"/>
    <w:rsid w:val="00921D22"/>
    <w:rsid w:val="00921EF0"/>
    <w:rsid w:val="009406AE"/>
    <w:rsid w:val="0094137E"/>
    <w:rsid w:val="00943B87"/>
    <w:rsid w:val="009442C5"/>
    <w:rsid w:val="0094685F"/>
    <w:rsid w:val="00956048"/>
    <w:rsid w:val="00961BF1"/>
    <w:rsid w:val="0096338E"/>
    <w:rsid w:val="009709F2"/>
    <w:rsid w:val="0097377E"/>
    <w:rsid w:val="0097487E"/>
    <w:rsid w:val="00977060"/>
    <w:rsid w:val="00980482"/>
    <w:rsid w:val="0098378E"/>
    <w:rsid w:val="00986F29"/>
    <w:rsid w:val="009901AD"/>
    <w:rsid w:val="009910A6"/>
    <w:rsid w:val="00991EA4"/>
    <w:rsid w:val="009943A8"/>
    <w:rsid w:val="009947D3"/>
    <w:rsid w:val="009965AB"/>
    <w:rsid w:val="009A55AE"/>
    <w:rsid w:val="009A7895"/>
    <w:rsid w:val="009B5011"/>
    <w:rsid w:val="009B5851"/>
    <w:rsid w:val="009C406D"/>
    <w:rsid w:val="009C5DDA"/>
    <w:rsid w:val="009D6DA7"/>
    <w:rsid w:val="009E02A8"/>
    <w:rsid w:val="009E265C"/>
    <w:rsid w:val="009E5A22"/>
    <w:rsid w:val="009F404C"/>
    <w:rsid w:val="00A00330"/>
    <w:rsid w:val="00A031DE"/>
    <w:rsid w:val="00A14698"/>
    <w:rsid w:val="00A15119"/>
    <w:rsid w:val="00A219F9"/>
    <w:rsid w:val="00A31FCC"/>
    <w:rsid w:val="00A36DBC"/>
    <w:rsid w:val="00A413AD"/>
    <w:rsid w:val="00A42F44"/>
    <w:rsid w:val="00A430F4"/>
    <w:rsid w:val="00A437D3"/>
    <w:rsid w:val="00A43B0D"/>
    <w:rsid w:val="00A44A41"/>
    <w:rsid w:val="00A50EDE"/>
    <w:rsid w:val="00A53396"/>
    <w:rsid w:val="00A57284"/>
    <w:rsid w:val="00A6409C"/>
    <w:rsid w:val="00A66B32"/>
    <w:rsid w:val="00A747A4"/>
    <w:rsid w:val="00A76E82"/>
    <w:rsid w:val="00A94588"/>
    <w:rsid w:val="00A949AD"/>
    <w:rsid w:val="00A97246"/>
    <w:rsid w:val="00AB11DB"/>
    <w:rsid w:val="00AC2C79"/>
    <w:rsid w:val="00AC3596"/>
    <w:rsid w:val="00AD0292"/>
    <w:rsid w:val="00AD09F4"/>
    <w:rsid w:val="00AD797A"/>
    <w:rsid w:val="00AE4204"/>
    <w:rsid w:val="00AF1354"/>
    <w:rsid w:val="00B04987"/>
    <w:rsid w:val="00B067B2"/>
    <w:rsid w:val="00B07A1C"/>
    <w:rsid w:val="00B117C8"/>
    <w:rsid w:val="00B12151"/>
    <w:rsid w:val="00B13F7B"/>
    <w:rsid w:val="00B1669E"/>
    <w:rsid w:val="00B21F2B"/>
    <w:rsid w:val="00B23A19"/>
    <w:rsid w:val="00B3064B"/>
    <w:rsid w:val="00B30E1F"/>
    <w:rsid w:val="00B323FB"/>
    <w:rsid w:val="00B32F56"/>
    <w:rsid w:val="00B5069E"/>
    <w:rsid w:val="00B54FA2"/>
    <w:rsid w:val="00B559AE"/>
    <w:rsid w:val="00B576D4"/>
    <w:rsid w:val="00B605B4"/>
    <w:rsid w:val="00B65994"/>
    <w:rsid w:val="00B718B5"/>
    <w:rsid w:val="00B7695F"/>
    <w:rsid w:val="00B80C73"/>
    <w:rsid w:val="00B824FB"/>
    <w:rsid w:val="00B8579B"/>
    <w:rsid w:val="00B85D54"/>
    <w:rsid w:val="00B86E61"/>
    <w:rsid w:val="00B90483"/>
    <w:rsid w:val="00B90FCE"/>
    <w:rsid w:val="00B9269A"/>
    <w:rsid w:val="00B93DBC"/>
    <w:rsid w:val="00BA21E0"/>
    <w:rsid w:val="00BA3557"/>
    <w:rsid w:val="00BB02A3"/>
    <w:rsid w:val="00BB7153"/>
    <w:rsid w:val="00BC70E4"/>
    <w:rsid w:val="00BD1277"/>
    <w:rsid w:val="00BD600A"/>
    <w:rsid w:val="00BE2E9A"/>
    <w:rsid w:val="00BE36DA"/>
    <w:rsid w:val="00BF20DB"/>
    <w:rsid w:val="00BF73DD"/>
    <w:rsid w:val="00C0088E"/>
    <w:rsid w:val="00C02189"/>
    <w:rsid w:val="00C16C81"/>
    <w:rsid w:val="00C30FDC"/>
    <w:rsid w:val="00C319C9"/>
    <w:rsid w:val="00C33895"/>
    <w:rsid w:val="00C3680C"/>
    <w:rsid w:val="00C36B5B"/>
    <w:rsid w:val="00C44C07"/>
    <w:rsid w:val="00C4612E"/>
    <w:rsid w:val="00C54E49"/>
    <w:rsid w:val="00C573B5"/>
    <w:rsid w:val="00C60E03"/>
    <w:rsid w:val="00C62F43"/>
    <w:rsid w:val="00C63B42"/>
    <w:rsid w:val="00C63D5B"/>
    <w:rsid w:val="00C72DCE"/>
    <w:rsid w:val="00C74224"/>
    <w:rsid w:val="00C935BF"/>
    <w:rsid w:val="00CA0A79"/>
    <w:rsid w:val="00CA163D"/>
    <w:rsid w:val="00CA33BA"/>
    <w:rsid w:val="00CB5102"/>
    <w:rsid w:val="00CB77BE"/>
    <w:rsid w:val="00CC0774"/>
    <w:rsid w:val="00CC3862"/>
    <w:rsid w:val="00CC4ADD"/>
    <w:rsid w:val="00CD2BBD"/>
    <w:rsid w:val="00CD35A0"/>
    <w:rsid w:val="00CE087F"/>
    <w:rsid w:val="00CE0DAB"/>
    <w:rsid w:val="00CF75DD"/>
    <w:rsid w:val="00CF7E02"/>
    <w:rsid w:val="00D05ACC"/>
    <w:rsid w:val="00D14DCC"/>
    <w:rsid w:val="00D204FD"/>
    <w:rsid w:val="00D258CC"/>
    <w:rsid w:val="00D25F93"/>
    <w:rsid w:val="00D33649"/>
    <w:rsid w:val="00D4312A"/>
    <w:rsid w:val="00D4564B"/>
    <w:rsid w:val="00D464D3"/>
    <w:rsid w:val="00D52EEC"/>
    <w:rsid w:val="00D55FCF"/>
    <w:rsid w:val="00D60B6C"/>
    <w:rsid w:val="00D62E84"/>
    <w:rsid w:val="00D65095"/>
    <w:rsid w:val="00D809C7"/>
    <w:rsid w:val="00D83EB7"/>
    <w:rsid w:val="00D903B2"/>
    <w:rsid w:val="00D90B0C"/>
    <w:rsid w:val="00D927CA"/>
    <w:rsid w:val="00D9637F"/>
    <w:rsid w:val="00DA1E2C"/>
    <w:rsid w:val="00DB79CE"/>
    <w:rsid w:val="00DD1471"/>
    <w:rsid w:val="00DD1B35"/>
    <w:rsid w:val="00DE04EC"/>
    <w:rsid w:val="00DE1D58"/>
    <w:rsid w:val="00DE53FD"/>
    <w:rsid w:val="00DF0050"/>
    <w:rsid w:val="00DF192B"/>
    <w:rsid w:val="00DF3708"/>
    <w:rsid w:val="00DF422E"/>
    <w:rsid w:val="00E04C58"/>
    <w:rsid w:val="00E07FE4"/>
    <w:rsid w:val="00E1178C"/>
    <w:rsid w:val="00E12865"/>
    <w:rsid w:val="00E1598C"/>
    <w:rsid w:val="00E171D4"/>
    <w:rsid w:val="00E20D5A"/>
    <w:rsid w:val="00E2433A"/>
    <w:rsid w:val="00E275D0"/>
    <w:rsid w:val="00E35604"/>
    <w:rsid w:val="00E40FD3"/>
    <w:rsid w:val="00E43CFE"/>
    <w:rsid w:val="00E46D74"/>
    <w:rsid w:val="00E510E7"/>
    <w:rsid w:val="00E54080"/>
    <w:rsid w:val="00E55CDD"/>
    <w:rsid w:val="00E5799B"/>
    <w:rsid w:val="00E63F09"/>
    <w:rsid w:val="00E67C16"/>
    <w:rsid w:val="00E72030"/>
    <w:rsid w:val="00E774DF"/>
    <w:rsid w:val="00E7796F"/>
    <w:rsid w:val="00E80074"/>
    <w:rsid w:val="00E848A7"/>
    <w:rsid w:val="00E85548"/>
    <w:rsid w:val="00E9091A"/>
    <w:rsid w:val="00E94326"/>
    <w:rsid w:val="00E94979"/>
    <w:rsid w:val="00EA01AD"/>
    <w:rsid w:val="00EB0525"/>
    <w:rsid w:val="00EB0AF9"/>
    <w:rsid w:val="00EB20C3"/>
    <w:rsid w:val="00EC133C"/>
    <w:rsid w:val="00EC2A45"/>
    <w:rsid w:val="00EC73F5"/>
    <w:rsid w:val="00ED459B"/>
    <w:rsid w:val="00ED57CB"/>
    <w:rsid w:val="00EF1360"/>
    <w:rsid w:val="00F0324A"/>
    <w:rsid w:val="00F033A8"/>
    <w:rsid w:val="00F07FD8"/>
    <w:rsid w:val="00F15C5B"/>
    <w:rsid w:val="00F204D5"/>
    <w:rsid w:val="00F21B66"/>
    <w:rsid w:val="00F31077"/>
    <w:rsid w:val="00F3377F"/>
    <w:rsid w:val="00F34647"/>
    <w:rsid w:val="00F438FF"/>
    <w:rsid w:val="00F5082F"/>
    <w:rsid w:val="00F53D8C"/>
    <w:rsid w:val="00F5551B"/>
    <w:rsid w:val="00F55E48"/>
    <w:rsid w:val="00F62E20"/>
    <w:rsid w:val="00F631D3"/>
    <w:rsid w:val="00F6340E"/>
    <w:rsid w:val="00F647D2"/>
    <w:rsid w:val="00F64A66"/>
    <w:rsid w:val="00F67480"/>
    <w:rsid w:val="00F67A2E"/>
    <w:rsid w:val="00F7046B"/>
    <w:rsid w:val="00F71779"/>
    <w:rsid w:val="00F81E51"/>
    <w:rsid w:val="00F8798D"/>
    <w:rsid w:val="00F921CA"/>
    <w:rsid w:val="00F93C1A"/>
    <w:rsid w:val="00FA5A76"/>
    <w:rsid w:val="00FB0000"/>
    <w:rsid w:val="00FB5CB5"/>
    <w:rsid w:val="00FB6BC3"/>
    <w:rsid w:val="00FC1C47"/>
    <w:rsid w:val="00FD03F6"/>
    <w:rsid w:val="00FD0E0D"/>
    <w:rsid w:val="00FD0EC3"/>
    <w:rsid w:val="00FD1260"/>
    <w:rsid w:val="00FD4154"/>
    <w:rsid w:val="00FD47E3"/>
    <w:rsid w:val="00FD6402"/>
    <w:rsid w:val="00FE15F4"/>
    <w:rsid w:val="00FE514A"/>
    <w:rsid w:val="00FF2FCA"/>
    <w:rsid w:val="00FF5CAC"/>
    <w:rsid w:val="01014077"/>
    <w:rsid w:val="01272083"/>
    <w:rsid w:val="01284C10"/>
    <w:rsid w:val="015B4FE6"/>
    <w:rsid w:val="017B11E4"/>
    <w:rsid w:val="01AC1704"/>
    <w:rsid w:val="01BE4C35"/>
    <w:rsid w:val="01FB0577"/>
    <w:rsid w:val="02071BEC"/>
    <w:rsid w:val="020E3E06"/>
    <w:rsid w:val="020F7B7E"/>
    <w:rsid w:val="021D2D7C"/>
    <w:rsid w:val="0223579A"/>
    <w:rsid w:val="02317AF5"/>
    <w:rsid w:val="023E5242"/>
    <w:rsid w:val="024E4B4B"/>
    <w:rsid w:val="025657AD"/>
    <w:rsid w:val="028E7FDE"/>
    <w:rsid w:val="02C601C1"/>
    <w:rsid w:val="02DB5B66"/>
    <w:rsid w:val="02E9230D"/>
    <w:rsid w:val="03AA4003"/>
    <w:rsid w:val="045B5F57"/>
    <w:rsid w:val="04904FA7"/>
    <w:rsid w:val="04AE367F"/>
    <w:rsid w:val="0504494D"/>
    <w:rsid w:val="050B6D23"/>
    <w:rsid w:val="051B0175"/>
    <w:rsid w:val="052878D5"/>
    <w:rsid w:val="05297632"/>
    <w:rsid w:val="05373674"/>
    <w:rsid w:val="055E1B86"/>
    <w:rsid w:val="058C38D1"/>
    <w:rsid w:val="05B64EE1"/>
    <w:rsid w:val="05D06A61"/>
    <w:rsid w:val="05EC0902"/>
    <w:rsid w:val="05ED6429"/>
    <w:rsid w:val="05EE2510"/>
    <w:rsid w:val="05F07A1A"/>
    <w:rsid w:val="06127CD8"/>
    <w:rsid w:val="063127B9"/>
    <w:rsid w:val="064F0F69"/>
    <w:rsid w:val="067D59FE"/>
    <w:rsid w:val="06A765D7"/>
    <w:rsid w:val="06BD160A"/>
    <w:rsid w:val="06EB4FC0"/>
    <w:rsid w:val="06F04422"/>
    <w:rsid w:val="06F25221"/>
    <w:rsid w:val="070414E7"/>
    <w:rsid w:val="074517CD"/>
    <w:rsid w:val="074A1D85"/>
    <w:rsid w:val="07941EA7"/>
    <w:rsid w:val="07C531B9"/>
    <w:rsid w:val="084611EE"/>
    <w:rsid w:val="0874698D"/>
    <w:rsid w:val="08787FAD"/>
    <w:rsid w:val="0883616D"/>
    <w:rsid w:val="08B52B24"/>
    <w:rsid w:val="08BB45BC"/>
    <w:rsid w:val="08C571E9"/>
    <w:rsid w:val="08DC4C5E"/>
    <w:rsid w:val="08E25FED"/>
    <w:rsid w:val="08FA6E92"/>
    <w:rsid w:val="08FF26FB"/>
    <w:rsid w:val="09067F2D"/>
    <w:rsid w:val="09807B59"/>
    <w:rsid w:val="09A90D29"/>
    <w:rsid w:val="09BB20BA"/>
    <w:rsid w:val="09CA0F5B"/>
    <w:rsid w:val="09DB2D82"/>
    <w:rsid w:val="09EB7CA7"/>
    <w:rsid w:val="09ED311A"/>
    <w:rsid w:val="0A1641A0"/>
    <w:rsid w:val="0A252635"/>
    <w:rsid w:val="0A3C34DB"/>
    <w:rsid w:val="0A514680"/>
    <w:rsid w:val="0A7B2255"/>
    <w:rsid w:val="0AA01CBB"/>
    <w:rsid w:val="0AA7129C"/>
    <w:rsid w:val="0AC0410C"/>
    <w:rsid w:val="0AE61DC4"/>
    <w:rsid w:val="0AFF2E86"/>
    <w:rsid w:val="0B725406"/>
    <w:rsid w:val="0B8E5FB8"/>
    <w:rsid w:val="0B906D1E"/>
    <w:rsid w:val="0BA15CEB"/>
    <w:rsid w:val="0BE1433A"/>
    <w:rsid w:val="0BE33000"/>
    <w:rsid w:val="0BF21B12"/>
    <w:rsid w:val="0C0544CC"/>
    <w:rsid w:val="0C144DB6"/>
    <w:rsid w:val="0C2D3A23"/>
    <w:rsid w:val="0C324B95"/>
    <w:rsid w:val="0C4226ED"/>
    <w:rsid w:val="0C4548C9"/>
    <w:rsid w:val="0C4D5E73"/>
    <w:rsid w:val="0C5E598A"/>
    <w:rsid w:val="0C762627"/>
    <w:rsid w:val="0C904140"/>
    <w:rsid w:val="0CB3217A"/>
    <w:rsid w:val="0CC55A09"/>
    <w:rsid w:val="0CD66AA1"/>
    <w:rsid w:val="0CD8573D"/>
    <w:rsid w:val="0CDA2144"/>
    <w:rsid w:val="0CEF2A86"/>
    <w:rsid w:val="0D023860"/>
    <w:rsid w:val="0D990915"/>
    <w:rsid w:val="0DBF68FD"/>
    <w:rsid w:val="0DDE4FD5"/>
    <w:rsid w:val="0E7C659C"/>
    <w:rsid w:val="0E9E71BC"/>
    <w:rsid w:val="0ECF491D"/>
    <w:rsid w:val="0EED3ABE"/>
    <w:rsid w:val="0F1D102F"/>
    <w:rsid w:val="0F7B4AA5"/>
    <w:rsid w:val="0F8216A0"/>
    <w:rsid w:val="0FAB7138"/>
    <w:rsid w:val="0FB97EAE"/>
    <w:rsid w:val="0FDD12D3"/>
    <w:rsid w:val="0FFC7994"/>
    <w:rsid w:val="10022AD1"/>
    <w:rsid w:val="100625C1"/>
    <w:rsid w:val="101822F4"/>
    <w:rsid w:val="101E5B5C"/>
    <w:rsid w:val="10317971"/>
    <w:rsid w:val="104906FF"/>
    <w:rsid w:val="10572E1C"/>
    <w:rsid w:val="105772C0"/>
    <w:rsid w:val="106D2640"/>
    <w:rsid w:val="107A02F9"/>
    <w:rsid w:val="108A1444"/>
    <w:rsid w:val="108F0808"/>
    <w:rsid w:val="10CF6E57"/>
    <w:rsid w:val="10DB3A4D"/>
    <w:rsid w:val="110765F0"/>
    <w:rsid w:val="111E1B8C"/>
    <w:rsid w:val="11473E9E"/>
    <w:rsid w:val="11515ABE"/>
    <w:rsid w:val="11521600"/>
    <w:rsid w:val="11CE35B2"/>
    <w:rsid w:val="11D0732A"/>
    <w:rsid w:val="11EC3A38"/>
    <w:rsid w:val="11F6593C"/>
    <w:rsid w:val="12221291"/>
    <w:rsid w:val="127E2F3A"/>
    <w:rsid w:val="129C6D40"/>
    <w:rsid w:val="12A8228B"/>
    <w:rsid w:val="12DD0F9D"/>
    <w:rsid w:val="12DD4869"/>
    <w:rsid w:val="12DE7825"/>
    <w:rsid w:val="130576A6"/>
    <w:rsid w:val="13166713"/>
    <w:rsid w:val="13581385"/>
    <w:rsid w:val="13702B73"/>
    <w:rsid w:val="1384217A"/>
    <w:rsid w:val="13A93907"/>
    <w:rsid w:val="13AC7923"/>
    <w:rsid w:val="13AE4E22"/>
    <w:rsid w:val="13BD568C"/>
    <w:rsid w:val="13DC1FB6"/>
    <w:rsid w:val="14025795"/>
    <w:rsid w:val="14515DD5"/>
    <w:rsid w:val="145D29CB"/>
    <w:rsid w:val="146305B3"/>
    <w:rsid w:val="14891A12"/>
    <w:rsid w:val="14B24C82"/>
    <w:rsid w:val="14F37395"/>
    <w:rsid w:val="15226ACF"/>
    <w:rsid w:val="152F25BA"/>
    <w:rsid w:val="15724254"/>
    <w:rsid w:val="15883A78"/>
    <w:rsid w:val="158E5532"/>
    <w:rsid w:val="159A3ED7"/>
    <w:rsid w:val="15D849FF"/>
    <w:rsid w:val="16201F02"/>
    <w:rsid w:val="16223ECC"/>
    <w:rsid w:val="162C3D63"/>
    <w:rsid w:val="1647335E"/>
    <w:rsid w:val="166A0228"/>
    <w:rsid w:val="167C182F"/>
    <w:rsid w:val="16816E45"/>
    <w:rsid w:val="16B0772A"/>
    <w:rsid w:val="17033CFE"/>
    <w:rsid w:val="171E75EA"/>
    <w:rsid w:val="1732013F"/>
    <w:rsid w:val="174054EB"/>
    <w:rsid w:val="17445FF2"/>
    <w:rsid w:val="17481FD2"/>
    <w:rsid w:val="17562080"/>
    <w:rsid w:val="18057602"/>
    <w:rsid w:val="1807337A"/>
    <w:rsid w:val="18616F2E"/>
    <w:rsid w:val="18776EB2"/>
    <w:rsid w:val="18954E2A"/>
    <w:rsid w:val="18982224"/>
    <w:rsid w:val="189E1056"/>
    <w:rsid w:val="189F77F2"/>
    <w:rsid w:val="18D86AC4"/>
    <w:rsid w:val="18D92F68"/>
    <w:rsid w:val="18F02060"/>
    <w:rsid w:val="191F46F3"/>
    <w:rsid w:val="193A32DB"/>
    <w:rsid w:val="193C34F7"/>
    <w:rsid w:val="1945415A"/>
    <w:rsid w:val="199B1FCC"/>
    <w:rsid w:val="19A35713"/>
    <w:rsid w:val="19A6734D"/>
    <w:rsid w:val="19E61D4C"/>
    <w:rsid w:val="19E716B5"/>
    <w:rsid w:val="1A4C59BC"/>
    <w:rsid w:val="1A5F49C1"/>
    <w:rsid w:val="1A720B5E"/>
    <w:rsid w:val="1A862C7C"/>
    <w:rsid w:val="1A89276C"/>
    <w:rsid w:val="1A8962C8"/>
    <w:rsid w:val="1A8D5D37"/>
    <w:rsid w:val="1A9E4E53"/>
    <w:rsid w:val="1AA44EB0"/>
    <w:rsid w:val="1AB27BAD"/>
    <w:rsid w:val="1AC22C87"/>
    <w:rsid w:val="1ACB42AA"/>
    <w:rsid w:val="1AD75285"/>
    <w:rsid w:val="1AE23C2A"/>
    <w:rsid w:val="1B041DF3"/>
    <w:rsid w:val="1B1A7868"/>
    <w:rsid w:val="1B5D4132"/>
    <w:rsid w:val="1B722C0B"/>
    <w:rsid w:val="1B811695"/>
    <w:rsid w:val="1B9D543E"/>
    <w:rsid w:val="1B9F0E54"/>
    <w:rsid w:val="1BEE0D5A"/>
    <w:rsid w:val="1C204A0A"/>
    <w:rsid w:val="1C5F1063"/>
    <w:rsid w:val="1C6C2CD6"/>
    <w:rsid w:val="1C7A40CC"/>
    <w:rsid w:val="1CC56BA8"/>
    <w:rsid w:val="1CE4012E"/>
    <w:rsid w:val="1D022362"/>
    <w:rsid w:val="1D032159"/>
    <w:rsid w:val="1D7414B2"/>
    <w:rsid w:val="1DE657E0"/>
    <w:rsid w:val="1DE87BFF"/>
    <w:rsid w:val="1DED6D0F"/>
    <w:rsid w:val="1E25455A"/>
    <w:rsid w:val="1E432C32"/>
    <w:rsid w:val="1E4D5EA2"/>
    <w:rsid w:val="1E562965"/>
    <w:rsid w:val="1E7828DC"/>
    <w:rsid w:val="1E7E1EBC"/>
    <w:rsid w:val="1E7F010E"/>
    <w:rsid w:val="1E8768A2"/>
    <w:rsid w:val="1E952F81"/>
    <w:rsid w:val="1E9D6A4C"/>
    <w:rsid w:val="1EB15DEE"/>
    <w:rsid w:val="1EBA1146"/>
    <w:rsid w:val="1F182311"/>
    <w:rsid w:val="1F2F6521"/>
    <w:rsid w:val="1F362D33"/>
    <w:rsid w:val="1F6C41A4"/>
    <w:rsid w:val="1F791EFD"/>
    <w:rsid w:val="1F933745"/>
    <w:rsid w:val="1FA140B4"/>
    <w:rsid w:val="1FA41A18"/>
    <w:rsid w:val="1FAF1E0D"/>
    <w:rsid w:val="1FDA382E"/>
    <w:rsid w:val="2040567B"/>
    <w:rsid w:val="209459C7"/>
    <w:rsid w:val="20992FDD"/>
    <w:rsid w:val="20D259FA"/>
    <w:rsid w:val="20E06E5E"/>
    <w:rsid w:val="21313216"/>
    <w:rsid w:val="21837F15"/>
    <w:rsid w:val="21A25EC1"/>
    <w:rsid w:val="21D40771"/>
    <w:rsid w:val="220D22E0"/>
    <w:rsid w:val="22105521"/>
    <w:rsid w:val="2217065D"/>
    <w:rsid w:val="223431C2"/>
    <w:rsid w:val="2238422A"/>
    <w:rsid w:val="2275288D"/>
    <w:rsid w:val="228D0920"/>
    <w:rsid w:val="2290420C"/>
    <w:rsid w:val="229C0B63"/>
    <w:rsid w:val="23014650"/>
    <w:rsid w:val="2305495A"/>
    <w:rsid w:val="231D0202"/>
    <w:rsid w:val="234E28AA"/>
    <w:rsid w:val="236C49D9"/>
    <w:rsid w:val="23711FEF"/>
    <w:rsid w:val="23971A56"/>
    <w:rsid w:val="239D4B92"/>
    <w:rsid w:val="23A6613D"/>
    <w:rsid w:val="23C95407"/>
    <w:rsid w:val="23DD710D"/>
    <w:rsid w:val="240370EB"/>
    <w:rsid w:val="241311A3"/>
    <w:rsid w:val="241407B4"/>
    <w:rsid w:val="242B4894"/>
    <w:rsid w:val="243C3641"/>
    <w:rsid w:val="2460453E"/>
    <w:rsid w:val="24D41A48"/>
    <w:rsid w:val="24F50B54"/>
    <w:rsid w:val="25423C43"/>
    <w:rsid w:val="25780CA3"/>
    <w:rsid w:val="25911791"/>
    <w:rsid w:val="25E15EEA"/>
    <w:rsid w:val="26034413"/>
    <w:rsid w:val="261C458B"/>
    <w:rsid w:val="26290113"/>
    <w:rsid w:val="264D28A0"/>
    <w:rsid w:val="26995AE5"/>
    <w:rsid w:val="26DB60FD"/>
    <w:rsid w:val="26DE174A"/>
    <w:rsid w:val="26F24C50"/>
    <w:rsid w:val="26F45F62"/>
    <w:rsid w:val="27016CF5"/>
    <w:rsid w:val="270F224B"/>
    <w:rsid w:val="272D1628"/>
    <w:rsid w:val="275859A0"/>
    <w:rsid w:val="275E42E6"/>
    <w:rsid w:val="27807F4C"/>
    <w:rsid w:val="279B763B"/>
    <w:rsid w:val="27BF157B"/>
    <w:rsid w:val="27E62FAC"/>
    <w:rsid w:val="27E72740"/>
    <w:rsid w:val="28022D0D"/>
    <w:rsid w:val="282E2931"/>
    <w:rsid w:val="28327F9F"/>
    <w:rsid w:val="28433F5A"/>
    <w:rsid w:val="28561472"/>
    <w:rsid w:val="286A598B"/>
    <w:rsid w:val="28C66939"/>
    <w:rsid w:val="28ED036A"/>
    <w:rsid w:val="28EF40E2"/>
    <w:rsid w:val="28F10206"/>
    <w:rsid w:val="293935AF"/>
    <w:rsid w:val="294855A0"/>
    <w:rsid w:val="294C2B55"/>
    <w:rsid w:val="294E09C8"/>
    <w:rsid w:val="295B325B"/>
    <w:rsid w:val="29824F56"/>
    <w:rsid w:val="2A0E67EA"/>
    <w:rsid w:val="2A3F4BF2"/>
    <w:rsid w:val="2A5F7045"/>
    <w:rsid w:val="2A9D28DE"/>
    <w:rsid w:val="2AC801FE"/>
    <w:rsid w:val="2ACD3758"/>
    <w:rsid w:val="2B1D4D88"/>
    <w:rsid w:val="2B41674B"/>
    <w:rsid w:val="2B63341A"/>
    <w:rsid w:val="2B6A7A50"/>
    <w:rsid w:val="2B805C8F"/>
    <w:rsid w:val="2BA50A88"/>
    <w:rsid w:val="2BA61DF7"/>
    <w:rsid w:val="2BC76C50"/>
    <w:rsid w:val="2BDC152B"/>
    <w:rsid w:val="2C210A56"/>
    <w:rsid w:val="2C53461B"/>
    <w:rsid w:val="2C7C3EDF"/>
    <w:rsid w:val="2CB5119F"/>
    <w:rsid w:val="2CCD4EB0"/>
    <w:rsid w:val="2CCE2260"/>
    <w:rsid w:val="2CDA6E57"/>
    <w:rsid w:val="2CDD4252"/>
    <w:rsid w:val="2CDE7B16"/>
    <w:rsid w:val="2CF258A6"/>
    <w:rsid w:val="2D0D4B37"/>
    <w:rsid w:val="2D12214D"/>
    <w:rsid w:val="2D2D1A32"/>
    <w:rsid w:val="2D452CD3"/>
    <w:rsid w:val="2D4542D1"/>
    <w:rsid w:val="2D482013"/>
    <w:rsid w:val="2D542766"/>
    <w:rsid w:val="2D8C63A3"/>
    <w:rsid w:val="2DAF5BEE"/>
    <w:rsid w:val="2DB9081B"/>
    <w:rsid w:val="2DB96A6D"/>
    <w:rsid w:val="2DBB4593"/>
    <w:rsid w:val="2DFF3137"/>
    <w:rsid w:val="2E262354"/>
    <w:rsid w:val="2E2E2FB7"/>
    <w:rsid w:val="2E440A2C"/>
    <w:rsid w:val="2E544272"/>
    <w:rsid w:val="2E652751"/>
    <w:rsid w:val="2EA85434"/>
    <w:rsid w:val="2EFF7A23"/>
    <w:rsid w:val="2F127C9B"/>
    <w:rsid w:val="2F452CAE"/>
    <w:rsid w:val="2F6D385E"/>
    <w:rsid w:val="2F8135BA"/>
    <w:rsid w:val="2FAD54C6"/>
    <w:rsid w:val="2FDF6F80"/>
    <w:rsid w:val="2FF91E1A"/>
    <w:rsid w:val="302269CD"/>
    <w:rsid w:val="304765B2"/>
    <w:rsid w:val="30653EA8"/>
    <w:rsid w:val="308E69D0"/>
    <w:rsid w:val="30A6152A"/>
    <w:rsid w:val="30AE4883"/>
    <w:rsid w:val="30BF439A"/>
    <w:rsid w:val="30CB0F91"/>
    <w:rsid w:val="312468F3"/>
    <w:rsid w:val="31384830"/>
    <w:rsid w:val="31413001"/>
    <w:rsid w:val="31697021"/>
    <w:rsid w:val="31725B9C"/>
    <w:rsid w:val="31741628"/>
    <w:rsid w:val="31973569"/>
    <w:rsid w:val="31983484"/>
    <w:rsid w:val="319A0963"/>
    <w:rsid w:val="31B859B9"/>
    <w:rsid w:val="31C3610C"/>
    <w:rsid w:val="31CB66E8"/>
    <w:rsid w:val="31E63E28"/>
    <w:rsid w:val="32045187"/>
    <w:rsid w:val="3264344B"/>
    <w:rsid w:val="328D625E"/>
    <w:rsid w:val="32C4317F"/>
    <w:rsid w:val="32D14858"/>
    <w:rsid w:val="32D27443"/>
    <w:rsid w:val="32DA043D"/>
    <w:rsid w:val="331846D7"/>
    <w:rsid w:val="3355548A"/>
    <w:rsid w:val="337551E4"/>
    <w:rsid w:val="338F274A"/>
    <w:rsid w:val="33E56358"/>
    <w:rsid w:val="34034EE6"/>
    <w:rsid w:val="34184DE6"/>
    <w:rsid w:val="346239BA"/>
    <w:rsid w:val="34700528"/>
    <w:rsid w:val="348A1163"/>
    <w:rsid w:val="349246AA"/>
    <w:rsid w:val="34CB23CC"/>
    <w:rsid w:val="34EB7E53"/>
    <w:rsid w:val="34FF7CFA"/>
    <w:rsid w:val="350B5E00"/>
    <w:rsid w:val="35103416"/>
    <w:rsid w:val="3536386F"/>
    <w:rsid w:val="354B6B44"/>
    <w:rsid w:val="356674DA"/>
    <w:rsid w:val="35AE11CE"/>
    <w:rsid w:val="35E2304D"/>
    <w:rsid w:val="35E456DE"/>
    <w:rsid w:val="35FE7713"/>
    <w:rsid w:val="364D1EBF"/>
    <w:rsid w:val="366B035A"/>
    <w:rsid w:val="367A57C2"/>
    <w:rsid w:val="368340BC"/>
    <w:rsid w:val="36E346A5"/>
    <w:rsid w:val="36FF1994"/>
    <w:rsid w:val="37133692"/>
    <w:rsid w:val="37166CDE"/>
    <w:rsid w:val="371C61D5"/>
    <w:rsid w:val="37225683"/>
    <w:rsid w:val="378B76CC"/>
    <w:rsid w:val="37BB3233"/>
    <w:rsid w:val="37C14E9C"/>
    <w:rsid w:val="37D42E21"/>
    <w:rsid w:val="37DC1CD5"/>
    <w:rsid w:val="38084878"/>
    <w:rsid w:val="380B6117"/>
    <w:rsid w:val="382947EF"/>
    <w:rsid w:val="38523D46"/>
    <w:rsid w:val="385B08C0"/>
    <w:rsid w:val="38761466"/>
    <w:rsid w:val="38A13CE6"/>
    <w:rsid w:val="38F74A71"/>
    <w:rsid w:val="390F4678"/>
    <w:rsid w:val="393B0C7E"/>
    <w:rsid w:val="39671A73"/>
    <w:rsid w:val="39934616"/>
    <w:rsid w:val="39BD1693"/>
    <w:rsid w:val="39FA28E7"/>
    <w:rsid w:val="39FD5F33"/>
    <w:rsid w:val="3A066B7D"/>
    <w:rsid w:val="3A3640F7"/>
    <w:rsid w:val="3A52627F"/>
    <w:rsid w:val="3A592F66"/>
    <w:rsid w:val="3A944AE9"/>
    <w:rsid w:val="3A965742"/>
    <w:rsid w:val="3AA0348E"/>
    <w:rsid w:val="3AAB1C5E"/>
    <w:rsid w:val="3AED2CDF"/>
    <w:rsid w:val="3AFF71B2"/>
    <w:rsid w:val="3B3B6D13"/>
    <w:rsid w:val="3B627439"/>
    <w:rsid w:val="3B714E2B"/>
    <w:rsid w:val="3B732951"/>
    <w:rsid w:val="3B8C57C0"/>
    <w:rsid w:val="3B9A7EDD"/>
    <w:rsid w:val="3BB56AC5"/>
    <w:rsid w:val="3BC51E2D"/>
    <w:rsid w:val="3BD80A06"/>
    <w:rsid w:val="3BD827B4"/>
    <w:rsid w:val="3BF33A92"/>
    <w:rsid w:val="3C0C2277"/>
    <w:rsid w:val="3C1001A0"/>
    <w:rsid w:val="3C3C10C6"/>
    <w:rsid w:val="3C3C2D43"/>
    <w:rsid w:val="3C6B7ACC"/>
    <w:rsid w:val="3C920BB5"/>
    <w:rsid w:val="3CC66AB0"/>
    <w:rsid w:val="3CEC4769"/>
    <w:rsid w:val="3D015CBA"/>
    <w:rsid w:val="3D163594"/>
    <w:rsid w:val="3D264775"/>
    <w:rsid w:val="3D2C2F4C"/>
    <w:rsid w:val="3D516CC2"/>
    <w:rsid w:val="3D536596"/>
    <w:rsid w:val="3D6C4AE1"/>
    <w:rsid w:val="3D7D1865"/>
    <w:rsid w:val="3D995500"/>
    <w:rsid w:val="3DA94408"/>
    <w:rsid w:val="3DF338D5"/>
    <w:rsid w:val="3E581CED"/>
    <w:rsid w:val="3E587BDC"/>
    <w:rsid w:val="3E5F0359"/>
    <w:rsid w:val="3E5F540E"/>
    <w:rsid w:val="3E834A54"/>
    <w:rsid w:val="3EAD7307"/>
    <w:rsid w:val="3EB80E95"/>
    <w:rsid w:val="3ED7660B"/>
    <w:rsid w:val="3EF46F8B"/>
    <w:rsid w:val="3EF60223"/>
    <w:rsid w:val="3F3562B3"/>
    <w:rsid w:val="3F367F1D"/>
    <w:rsid w:val="3F424B14"/>
    <w:rsid w:val="3F514D57"/>
    <w:rsid w:val="3F740A45"/>
    <w:rsid w:val="3F935790"/>
    <w:rsid w:val="40167D4F"/>
    <w:rsid w:val="4038148A"/>
    <w:rsid w:val="4091563A"/>
    <w:rsid w:val="40AB0497"/>
    <w:rsid w:val="40DC3727"/>
    <w:rsid w:val="40E8793D"/>
    <w:rsid w:val="40F7192E"/>
    <w:rsid w:val="40FA7FF6"/>
    <w:rsid w:val="410F3A7D"/>
    <w:rsid w:val="41253E3F"/>
    <w:rsid w:val="41483F38"/>
    <w:rsid w:val="41686388"/>
    <w:rsid w:val="416A2100"/>
    <w:rsid w:val="4182744A"/>
    <w:rsid w:val="41BD1DD3"/>
    <w:rsid w:val="41C71300"/>
    <w:rsid w:val="41C91E8C"/>
    <w:rsid w:val="41D90C43"/>
    <w:rsid w:val="41F47C95"/>
    <w:rsid w:val="42031BCD"/>
    <w:rsid w:val="42051E29"/>
    <w:rsid w:val="420A743F"/>
    <w:rsid w:val="42154762"/>
    <w:rsid w:val="42383FAC"/>
    <w:rsid w:val="425B7242"/>
    <w:rsid w:val="425C5EED"/>
    <w:rsid w:val="42707BEA"/>
    <w:rsid w:val="42765961"/>
    <w:rsid w:val="42864708"/>
    <w:rsid w:val="42C57F36"/>
    <w:rsid w:val="42F425C9"/>
    <w:rsid w:val="43192030"/>
    <w:rsid w:val="43257511"/>
    <w:rsid w:val="43284021"/>
    <w:rsid w:val="435B63EA"/>
    <w:rsid w:val="435E3EE6"/>
    <w:rsid w:val="437D25BE"/>
    <w:rsid w:val="43903EC0"/>
    <w:rsid w:val="43B038FF"/>
    <w:rsid w:val="43BD1174"/>
    <w:rsid w:val="43F83455"/>
    <w:rsid w:val="43FA3C0F"/>
    <w:rsid w:val="44000AFA"/>
    <w:rsid w:val="44191BBB"/>
    <w:rsid w:val="44202F4A"/>
    <w:rsid w:val="44222311"/>
    <w:rsid w:val="44265B60"/>
    <w:rsid w:val="445300EE"/>
    <w:rsid w:val="44823C05"/>
    <w:rsid w:val="44C935E1"/>
    <w:rsid w:val="44D81A76"/>
    <w:rsid w:val="45114421"/>
    <w:rsid w:val="45294080"/>
    <w:rsid w:val="453D5A2A"/>
    <w:rsid w:val="454C3E11"/>
    <w:rsid w:val="457C68A6"/>
    <w:rsid w:val="45891987"/>
    <w:rsid w:val="458A2D71"/>
    <w:rsid w:val="45B7168C"/>
    <w:rsid w:val="45C344D5"/>
    <w:rsid w:val="45D15EED"/>
    <w:rsid w:val="45D24718"/>
    <w:rsid w:val="45DF7D4A"/>
    <w:rsid w:val="45F60406"/>
    <w:rsid w:val="46172422"/>
    <w:rsid w:val="4639275E"/>
    <w:rsid w:val="463D4287"/>
    <w:rsid w:val="46433319"/>
    <w:rsid w:val="46674E60"/>
    <w:rsid w:val="46A95479"/>
    <w:rsid w:val="46D36999"/>
    <w:rsid w:val="46D4291E"/>
    <w:rsid w:val="46E77CD6"/>
    <w:rsid w:val="46FE60CF"/>
    <w:rsid w:val="47066B20"/>
    <w:rsid w:val="470703F1"/>
    <w:rsid w:val="47224611"/>
    <w:rsid w:val="4723522B"/>
    <w:rsid w:val="47411B55"/>
    <w:rsid w:val="476F66C2"/>
    <w:rsid w:val="47863A0C"/>
    <w:rsid w:val="478D4D9A"/>
    <w:rsid w:val="47A16A17"/>
    <w:rsid w:val="47A65E5C"/>
    <w:rsid w:val="47B10A89"/>
    <w:rsid w:val="47E73285"/>
    <w:rsid w:val="47F40975"/>
    <w:rsid w:val="4806637A"/>
    <w:rsid w:val="48180B08"/>
    <w:rsid w:val="4858064E"/>
    <w:rsid w:val="48855ECB"/>
    <w:rsid w:val="488E0DCA"/>
    <w:rsid w:val="488F68F0"/>
    <w:rsid w:val="48914416"/>
    <w:rsid w:val="489F05CB"/>
    <w:rsid w:val="48CC18F2"/>
    <w:rsid w:val="48E72288"/>
    <w:rsid w:val="490270C2"/>
    <w:rsid w:val="49064E04"/>
    <w:rsid w:val="49441489"/>
    <w:rsid w:val="49494CF1"/>
    <w:rsid w:val="49CA60BE"/>
    <w:rsid w:val="49D15FA1"/>
    <w:rsid w:val="4A050C18"/>
    <w:rsid w:val="4A1B08D8"/>
    <w:rsid w:val="4A496867"/>
    <w:rsid w:val="4A8C758B"/>
    <w:rsid w:val="4AA27491"/>
    <w:rsid w:val="4AC513B9"/>
    <w:rsid w:val="4AD90602"/>
    <w:rsid w:val="4AE07B67"/>
    <w:rsid w:val="4AF60EA8"/>
    <w:rsid w:val="4B007631"/>
    <w:rsid w:val="4B0E61F2"/>
    <w:rsid w:val="4B117A90"/>
    <w:rsid w:val="4B2E50E0"/>
    <w:rsid w:val="4B4907E0"/>
    <w:rsid w:val="4B49722A"/>
    <w:rsid w:val="4B535406"/>
    <w:rsid w:val="4B5A1437"/>
    <w:rsid w:val="4B814C16"/>
    <w:rsid w:val="4B865D88"/>
    <w:rsid w:val="4BAB3A41"/>
    <w:rsid w:val="4BDE5236"/>
    <w:rsid w:val="4C001FDF"/>
    <w:rsid w:val="4C0A69B9"/>
    <w:rsid w:val="4C2228A7"/>
    <w:rsid w:val="4C2B677E"/>
    <w:rsid w:val="4C4C6FD2"/>
    <w:rsid w:val="4C7706EA"/>
    <w:rsid w:val="4C7C718B"/>
    <w:rsid w:val="4C83051A"/>
    <w:rsid w:val="4CAA3CF8"/>
    <w:rsid w:val="4CFA6A2E"/>
    <w:rsid w:val="4D07739D"/>
    <w:rsid w:val="4D0E6A50"/>
    <w:rsid w:val="4D5A5C7A"/>
    <w:rsid w:val="4D7A7B6F"/>
    <w:rsid w:val="4D7C38E7"/>
    <w:rsid w:val="4DDF3D59"/>
    <w:rsid w:val="4DF73D65"/>
    <w:rsid w:val="4E1540E0"/>
    <w:rsid w:val="4E4C1D55"/>
    <w:rsid w:val="4E9F6920"/>
    <w:rsid w:val="4ECD5D98"/>
    <w:rsid w:val="4ED11A10"/>
    <w:rsid w:val="4EDB7A16"/>
    <w:rsid w:val="4EEA4880"/>
    <w:rsid w:val="4F0634C8"/>
    <w:rsid w:val="4F38383D"/>
    <w:rsid w:val="4F3A75B6"/>
    <w:rsid w:val="4F661797"/>
    <w:rsid w:val="4F8C6496"/>
    <w:rsid w:val="4F9E2D5E"/>
    <w:rsid w:val="4FAD5F2A"/>
    <w:rsid w:val="4FD600B2"/>
    <w:rsid w:val="4FE362B3"/>
    <w:rsid w:val="4FF74071"/>
    <w:rsid w:val="4FFC486B"/>
    <w:rsid w:val="50067498"/>
    <w:rsid w:val="502E6F54"/>
    <w:rsid w:val="5035213F"/>
    <w:rsid w:val="50A8054F"/>
    <w:rsid w:val="50B25872"/>
    <w:rsid w:val="50B9760A"/>
    <w:rsid w:val="50C57042"/>
    <w:rsid w:val="50D43A3A"/>
    <w:rsid w:val="50D715FA"/>
    <w:rsid w:val="50D92DFE"/>
    <w:rsid w:val="50DC676B"/>
    <w:rsid w:val="50DE6667"/>
    <w:rsid w:val="50F47C38"/>
    <w:rsid w:val="50FB0FC7"/>
    <w:rsid w:val="51202CFD"/>
    <w:rsid w:val="51217AE6"/>
    <w:rsid w:val="514B578C"/>
    <w:rsid w:val="516369FD"/>
    <w:rsid w:val="51A57185"/>
    <w:rsid w:val="51B353FD"/>
    <w:rsid w:val="51BB2504"/>
    <w:rsid w:val="51C54D02"/>
    <w:rsid w:val="51D017FA"/>
    <w:rsid w:val="520D7026"/>
    <w:rsid w:val="52127026"/>
    <w:rsid w:val="522462FB"/>
    <w:rsid w:val="522510AD"/>
    <w:rsid w:val="523302EC"/>
    <w:rsid w:val="525A3ACB"/>
    <w:rsid w:val="52650DED"/>
    <w:rsid w:val="5266777D"/>
    <w:rsid w:val="52707792"/>
    <w:rsid w:val="529C0587"/>
    <w:rsid w:val="52B92EE7"/>
    <w:rsid w:val="52C13B25"/>
    <w:rsid w:val="52C40CED"/>
    <w:rsid w:val="52C77B7F"/>
    <w:rsid w:val="5305612D"/>
    <w:rsid w:val="53395DD6"/>
    <w:rsid w:val="53407165"/>
    <w:rsid w:val="5343556B"/>
    <w:rsid w:val="5343661A"/>
    <w:rsid w:val="534A673B"/>
    <w:rsid w:val="537A73C2"/>
    <w:rsid w:val="538057B3"/>
    <w:rsid w:val="538D6614"/>
    <w:rsid w:val="53C75F79"/>
    <w:rsid w:val="53EE4E13"/>
    <w:rsid w:val="5415239F"/>
    <w:rsid w:val="54492049"/>
    <w:rsid w:val="546F6F25"/>
    <w:rsid w:val="548B2661"/>
    <w:rsid w:val="549542E2"/>
    <w:rsid w:val="549A28A4"/>
    <w:rsid w:val="54A56347"/>
    <w:rsid w:val="54B5148C"/>
    <w:rsid w:val="54D758A7"/>
    <w:rsid w:val="54E16725"/>
    <w:rsid w:val="54E63D3C"/>
    <w:rsid w:val="550F5041"/>
    <w:rsid w:val="551500E9"/>
    <w:rsid w:val="55436A98"/>
    <w:rsid w:val="5588094F"/>
    <w:rsid w:val="55913CA7"/>
    <w:rsid w:val="55984B98"/>
    <w:rsid w:val="55B41494"/>
    <w:rsid w:val="55BA2F55"/>
    <w:rsid w:val="55FC4723"/>
    <w:rsid w:val="560501F2"/>
    <w:rsid w:val="56091A90"/>
    <w:rsid w:val="560E0735"/>
    <w:rsid w:val="563665FD"/>
    <w:rsid w:val="56535401"/>
    <w:rsid w:val="566B274A"/>
    <w:rsid w:val="56AD68BF"/>
    <w:rsid w:val="56D976B4"/>
    <w:rsid w:val="56F75D8C"/>
    <w:rsid w:val="56F97D56"/>
    <w:rsid w:val="56FC15F5"/>
    <w:rsid w:val="56FD401A"/>
    <w:rsid w:val="572072BC"/>
    <w:rsid w:val="575431DF"/>
    <w:rsid w:val="576A0C54"/>
    <w:rsid w:val="57722030"/>
    <w:rsid w:val="57783371"/>
    <w:rsid w:val="578C0BCA"/>
    <w:rsid w:val="579B22FA"/>
    <w:rsid w:val="57AA2DFF"/>
    <w:rsid w:val="57B67FAF"/>
    <w:rsid w:val="57BD4A5B"/>
    <w:rsid w:val="57C93873"/>
    <w:rsid w:val="57F95B34"/>
    <w:rsid w:val="57FF448B"/>
    <w:rsid w:val="584354BA"/>
    <w:rsid w:val="585A65D3"/>
    <w:rsid w:val="586F5EE0"/>
    <w:rsid w:val="587A3847"/>
    <w:rsid w:val="58B02697"/>
    <w:rsid w:val="58B74799"/>
    <w:rsid w:val="58E3481A"/>
    <w:rsid w:val="58EB7B73"/>
    <w:rsid w:val="593212FE"/>
    <w:rsid w:val="597933D0"/>
    <w:rsid w:val="59967ADE"/>
    <w:rsid w:val="599E4BE5"/>
    <w:rsid w:val="599E6993"/>
    <w:rsid w:val="59C208D3"/>
    <w:rsid w:val="59D625D1"/>
    <w:rsid w:val="59E00B11"/>
    <w:rsid w:val="59F12F67"/>
    <w:rsid w:val="59FF38D6"/>
    <w:rsid w:val="5A1153B7"/>
    <w:rsid w:val="5A1425E2"/>
    <w:rsid w:val="5A1F5D26"/>
    <w:rsid w:val="5A557999"/>
    <w:rsid w:val="5A5A6D5E"/>
    <w:rsid w:val="5A655703"/>
    <w:rsid w:val="5A7871E4"/>
    <w:rsid w:val="5A9009D2"/>
    <w:rsid w:val="5AB04BD0"/>
    <w:rsid w:val="5AB521E6"/>
    <w:rsid w:val="5AB814AD"/>
    <w:rsid w:val="5ABF26F5"/>
    <w:rsid w:val="5ACD2A8D"/>
    <w:rsid w:val="5AF0321E"/>
    <w:rsid w:val="5AF97AF9"/>
    <w:rsid w:val="5B01542B"/>
    <w:rsid w:val="5B1516C0"/>
    <w:rsid w:val="5B3A0CAE"/>
    <w:rsid w:val="5B527A35"/>
    <w:rsid w:val="5B833B21"/>
    <w:rsid w:val="5B8A794F"/>
    <w:rsid w:val="5BA924BC"/>
    <w:rsid w:val="5BCA3A1A"/>
    <w:rsid w:val="5BD40D92"/>
    <w:rsid w:val="5BDE751B"/>
    <w:rsid w:val="5BFE196B"/>
    <w:rsid w:val="5C090A3C"/>
    <w:rsid w:val="5C0F06CF"/>
    <w:rsid w:val="5C276A31"/>
    <w:rsid w:val="5C334DCA"/>
    <w:rsid w:val="5C82434A"/>
    <w:rsid w:val="5C981DBF"/>
    <w:rsid w:val="5CB36BF9"/>
    <w:rsid w:val="5D175D5B"/>
    <w:rsid w:val="5D1E43BE"/>
    <w:rsid w:val="5D245401"/>
    <w:rsid w:val="5D577585"/>
    <w:rsid w:val="5D8353B4"/>
    <w:rsid w:val="5DA327CA"/>
    <w:rsid w:val="5DA93676"/>
    <w:rsid w:val="5DD0092A"/>
    <w:rsid w:val="5DDC0A78"/>
    <w:rsid w:val="5DF66E38"/>
    <w:rsid w:val="5E08087F"/>
    <w:rsid w:val="5E4865EB"/>
    <w:rsid w:val="5E773554"/>
    <w:rsid w:val="5ED846F5"/>
    <w:rsid w:val="5F066A42"/>
    <w:rsid w:val="5F074FDA"/>
    <w:rsid w:val="5F3F6F95"/>
    <w:rsid w:val="5F7A755A"/>
    <w:rsid w:val="5FA33E97"/>
    <w:rsid w:val="5FBC5DC5"/>
    <w:rsid w:val="60011A2A"/>
    <w:rsid w:val="6025396A"/>
    <w:rsid w:val="602A42E4"/>
    <w:rsid w:val="605A0FEE"/>
    <w:rsid w:val="60636240"/>
    <w:rsid w:val="608106DF"/>
    <w:rsid w:val="60C018E5"/>
    <w:rsid w:val="60E64F60"/>
    <w:rsid w:val="60EC6236"/>
    <w:rsid w:val="61077514"/>
    <w:rsid w:val="61202383"/>
    <w:rsid w:val="612A28B1"/>
    <w:rsid w:val="61695AD8"/>
    <w:rsid w:val="616B7AA3"/>
    <w:rsid w:val="61970898"/>
    <w:rsid w:val="61A15272"/>
    <w:rsid w:val="61B34D8A"/>
    <w:rsid w:val="61BA4EB8"/>
    <w:rsid w:val="61C24B5C"/>
    <w:rsid w:val="61C6117D"/>
    <w:rsid w:val="61CE53C5"/>
    <w:rsid w:val="61D513C0"/>
    <w:rsid w:val="61E635CD"/>
    <w:rsid w:val="61FB0E26"/>
    <w:rsid w:val="61FC4B9F"/>
    <w:rsid w:val="627012F9"/>
    <w:rsid w:val="6280757E"/>
    <w:rsid w:val="62A82630"/>
    <w:rsid w:val="62A90727"/>
    <w:rsid w:val="62BB05B6"/>
    <w:rsid w:val="62E47B0C"/>
    <w:rsid w:val="62FB5D20"/>
    <w:rsid w:val="63021D41"/>
    <w:rsid w:val="632E2B36"/>
    <w:rsid w:val="633B34A5"/>
    <w:rsid w:val="634B55D8"/>
    <w:rsid w:val="63AB173F"/>
    <w:rsid w:val="63AB4186"/>
    <w:rsid w:val="63CB4828"/>
    <w:rsid w:val="63E43B3C"/>
    <w:rsid w:val="63EF036E"/>
    <w:rsid w:val="63F55D49"/>
    <w:rsid w:val="63F947B7"/>
    <w:rsid w:val="643021F7"/>
    <w:rsid w:val="645978DD"/>
    <w:rsid w:val="64711444"/>
    <w:rsid w:val="64AA08E2"/>
    <w:rsid w:val="64B83E22"/>
    <w:rsid w:val="64E7036A"/>
    <w:rsid w:val="64F86DF2"/>
    <w:rsid w:val="64FD6EF8"/>
    <w:rsid w:val="652F7039"/>
    <w:rsid w:val="656A2DB1"/>
    <w:rsid w:val="65BC07BA"/>
    <w:rsid w:val="65F55B8D"/>
    <w:rsid w:val="66214BD4"/>
    <w:rsid w:val="662B7800"/>
    <w:rsid w:val="664663E8"/>
    <w:rsid w:val="6650370B"/>
    <w:rsid w:val="667016B7"/>
    <w:rsid w:val="66811B16"/>
    <w:rsid w:val="66AA2E1B"/>
    <w:rsid w:val="66B62C83"/>
    <w:rsid w:val="66D25ECE"/>
    <w:rsid w:val="66D34F55"/>
    <w:rsid w:val="66FD39F4"/>
    <w:rsid w:val="672E57FA"/>
    <w:rsid w:val="67386535"/>
    <w:rsid w:val="673B332A"/>
    <w:rsid w:val="67B37AAD"/>
    <w:rsid w:val="67BB268C"/>
    <w:rsid w:val="68071BA7"/>
    <w:rsid w:val="68700689"/>
    <w:rsid w:val="6870599E"/>
    <w:rsid w:val="687A004F"/>
    <w:rsid w:val="688E4077"/>
    <w:rsid w:val="68994EF5"/>
    <w:rsid w:val="68D0468F"/>
    <w:rsid w:val="68D0643D"/>
    <w:rsid w:val="68D777CC"/>
    <w:rsid w:val="692769A5"/>
    <w:rsid w:val="692C42F4"/>
    <w:rsid w:val="695272AE"/>
    <w:rsid w:val="69532A03"/>
    <w:rsid w:val="696E6382"/>
    <w:rsid w:val="69821E2D"/>
    <w:rsid w:val="69825989"/>
    <w:rsid w:val="69BB5C10"/>
    <w:rsid w:val="69F745C9"/>
    <w:rsid w:val="6A1D56B2"/>
    <w:rsid w:val="6A3F387A"/>
    <w:rsid w:val="6A4B2AF5"/>
    <w:rsid w:val="6A4E384C"/>
    <w:rsid w:val="6A9C2A7B"/>
    <w:rsid w:val="6AC22B22"/>
    <w:rsid w:val="6AC36259"/>
    <w:rsid w:val="6AF13A20"/>
    <w:rsid w:val="6B146AB5"/>
    <w:rsid w:val="6B517D09"/>
    <w:rsid w:val="6B596BBE"/>
    <w:rsid w:val="6B600671"/>
    <w:rsid w:val="6B6F568C"/>
    <w:rsid w:val="6B9A5E05"/>
    <w:rsid w:val="6BB67B6C"/>
    <w:rsid w:val="6C2E1DF8"/>
    <w:rsid w:val="6C580C23"/>
    <w:rsid w:val="6C5C5FB4"/>
    <w:rsid w:val="6C725A99"/>
    <w:rsid w:val="6C7F2654"/>
    <w:rsid w:val="6D311E90"/>
    <w:rsid w:val="6D7F6A3D"/>
    <w:rsid w:val="6D82752C"/>
    <w:rsid w:val="6D8E5056"/>
    <w:rsid w:val="6D9026E1"/>
    <w:rsid w:val="6D9640F9"/>
    <w:rsid w:val="6D967C55"/>
    <w:rsid w:val="6DA939C6"/>
    <w:rsid w:val="6DAE1B10"/>
    <w:rsid w:val="6DC2253B"/>
    <w:rsid w:val="6DCA5B51"/>
    <w:rsid w:val="6DD625D7"/>
    <w:rsid w:val="6DEA14EE"/>
    <w:rsid w:val="6E160D96"/>
    <w:rsid w:val="6E251EBD"/>
    <w:rsid w:val="6E4E30C1"/>
    <w:rsid w:val="6E950308"/>
    <w:rsid w:val="6EB5257D"/>
    <w:rsid w:val="6ECB1B80"/>
    <w:rsid w:val="6EE669BA"/>
    <w:rsid w:val="6EF154D3"/>
    <w:rsid w:val="6EFC61DE"/>
    <w:rsid w:val="6F2A1EA8"/>
    <w:rsid w:val="6F626724"/>
    <w:rsid w:val="6F767D3E"/>
    <w:rsid w:val="6FA44D7D"/>
    <w:rsid w:val="6FAA5C3A"/>
    <w:rsid w:val="6FB97C2B"/>
    <w:rsid w:val="6FD241EE"/>
    <w:rsid w:val="6FE32EFA"/>
    <w:rsid w:val="6FE56C72"/>
    <w:rsid w:val="70223A22"/>
    <w:rsid w:val="705363C1"/>
    <w:rsid w:val="707E521F"/>
    <w:rsid w:val="708244C1"/>
    <w:rsid w:val="708A15C7"/>
    <w:rsid w:val="70D23D39"/>
    <w:rsid w:val="70F2329B"/>
    <w:rsid w:val="71096990"/>
    <w:rsid w:val="71265794"/>
    <w:rsid w:val="712D6B22"/>
    <w:rsid w:val="714D4ACF"/>
    <w:rsid w:val="717C3730"/>
    <w:rsid w:val="71804EA4"/>
    <w:rsid w:val="71B0042E"/>
    <w:rsid w:val="72281098"/>
    <w:rsid w:val="726E492B"/>
    <w:rsid w:val="72D60AF4"/>
    <w:rsid w:val="72E94CCB"/>
    <w:rsid w:val="72FA6627"/>
    <w:rsid w:val="730438B3"/>
    <w:rsid w:val="73140212"/>
    <w:rsid w:val="731921C8"/>
    <w:rsid w:val="73373C88"/>
    <w:rsid w:val="73481ADA"/>
    <w:rsid w:val="73591E51"/>
    <w:rsid w:val="73AF1A71"/>
    <w:rsid w:val="73C60B68"/>
    <w:rsid w:val="73D33B63"/>
    <w:rsid w:val="741B0306"/>
    <w:rsid w:val="741D7687"/>
    <w:rsid w:val="74251D33"/>
    <w:rsid w:val="743B4661"/>
    <w:rsid w:val="74566390"/>
    <w:rsid w:val="74643D95"/>
    <w:rsid w:val="747B5DF7"/>
    <w:rsid w:val="74934EEE"/>
    <w:rsid w:val="74B53F65"/>
    <w:rsid w:val="74B93B6F"/>
    <w:rsid w:val="750758DC"/>
    <w:rsid w:val="750820A4"/>
    <w:rsid w:val="751122B7"/>
    <w:rsid w:val="754B7577"/>
    <w:rsid w:val="75533953"/>
    <w:rsid w:val="75596138"/>
    <w:rsid w:val="75616D9B"/>
    <w:rsid w:val="756E770A"/>
    <w:rsid w:val="758111EB"/>
    <w:rsid w:val="75880E0D"/>
    <w:rsid w:val="75B23F7E"/>
    <w:rsid w:val="75BD4B6F"/>
    <w:rsid w:val="75FA2D4B"/>
    <w:rsid w:val="75FE45EA"/>
    <w:rsid w:val="76285B0A"/>
    <w:rsid w:val="764D731F"/>
    <w:rsid w:val="76780840"/>
    <w:rsid w:val="769413F2"/>
    <w:rsid w:val="769B452E"/>
    <w:rsid w:val="76BE5E98"/>
    <w:rsid w:val="76CF43DC"/>
    <w:rsid w:val="76D161A2"/>
    <w:rsid w:val="76FA74A7"/>
    <w:rsid w:val="77043E82"/>
    <w:rsid w:val="77084C62"/>
    <w:rsid w:val="7755292F"/>
    <w:rsid w:val="776808B4"/>
    <w:rsid w:val="77920469"/>
    <w:rsid w:val="779470C1"/>
    <w:rsid w:val="77AA5753"/>
    <w:rsid w:val="77C8615C"/>
    <w:rsid w:val="77E45A3E"/>
    <w:rsid w:val="780835B9"/>
    <w:rsid w:val="781A59B2"/>
    <w:rsid w:val="78316434"/>
    <w:rsid w:val="785B3F75"/>
    <w:rsid w:val="786725EB"/>
    <w:rsid w:val="78A05E2C"/>
    <w:rsid w:val="78E51A91"/>
    <w:rsid w:val="792E168A"/>
    <w:rsid w:val="7961380D"/>
    <w:rsid w:val="798D3D12"/>
    <w:rsid w:val="79A7490D"/>
    <w:rsid w:val="79B90234"/>
    <w:rsid w:val="79BF6786"/>
    <w:rsid w:val="79DF4732"/>
    <w:rsid w:val="79FB496B"/>
    <w:rsid w:val="79FE105C"/>
    <w:rsid w:val="7A3A0A3C"/>
    <w:rsid w:val="7A3C5E76"/>
    <w:rsid w:val="7A59352A"/>
    <w:rsid w:val="7A831561"/>
    <w:rsid w:val="7A8A0B42"/>
    <w:rsid w:val="7AE43462"/>
    <w:rsid w:val="7B2368A0"/>
    <w:rsid w:val="7B343644"/>
    <w:rsid w:val="7B4B5507"/>
    <w:rsid w:val="7B4C229B"/>
    <w:rsid w:val="7B5506B1"/>
    <w:rsid w:val="7B5536B5"/>
    <w:rsid w:val="7B707D38"/>
    <w:rsid w:val="7B7F6AF1"/>
    <w:rsid w:val="7BA2010D"/>
    <w:rsid w:val="7BC33D21"/>
    <w:rsid w:val="7C2B0102"/>
    <w:rsid w:val="7C3074C7"/>
    <w:rsid w:val="7C694787"/>
    <w:rsid w:val="7CB023B6"/>
    <w:rsid w:val="7CCD0E1E"/>
    <w:rsid w:val="7CD619D9"/>
    <w:rsid w:val="7CEF2EDE"/>
    <w:rsid w:val="7D0050EB"/>
    <w:rsid w:val="7D0F3580"/>
    <w:rsid w:val="7D1110A6"/>
    <w:rsid w:val="7D162B61"/>
    <w:rsid w:val="7D7065E1"/>
    <w:rsid w:val="7D9D6C2A"/>
    <w:rsid w:val="7DAC501E"/>
    <w:rsid w:val="7DAF1071"/>
    <w:rsid w:val="7DB06B11"/>
    <w:rsid w:val="7DC1163E"/>
    <w:rsid w:val="7DC66335"/>
    <w:rsid w:val="7DEC566F"/>
    <w:rsid w:val="7E1D303C"/>
    <w:rsid w:val="7E223BB8"/>
    <w:rsid w:val="7E2B11F7"/>
    <w:rsid w:val="7E3F60E7"/>
    <w:rsid w:val="7E4A68AE"/>
    <w:rsid w:val="7E553215"/>
    <w:rsid w:val="7E84107C"/>
    <w:rsid w:val="7E9A50CB"/>
    <w:rsid w:val="7EB20667"/>
    <w:rsid w:val="7EB23333"/>
    <w:rsid w:val="7ED43428"/>
    <w:rsid w:val="7EE226EE"/>
    <w:rsid w:val="7EE86027"/>
    <w:rsid w:val="7EED78F1"/>
    <w:rsid w:val="7F0132A6"/>
    <w:rsid w:val="7F0F7867"/>
    <w:rsid w:val="7F2E4787"/>
    <w:rsid w:val="7F4219EB"/>
    <w:rsid w:val="7F82628B"/>
    <w:rsid w:val="7FA77AA0"/>
    <w:rsid w:val="7FA82672"/>
    <w:rsid w:val="7FC229C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qFormat="1" w:unhideWhenUsed="0" w:uiPriority="99" w:semiHidden="0" w:name="index 5"/>
    <w:lsdException w:uiPriority="99" w:name="index 6"/>
    <w:lsdException w:uiPriority="99" w:name="index 7"/>
    <w:lsdException w:uiPriority="99" w:name="index 8"/>
    <w:lsdException w:uiPriority="99" w:name="index 9"/>
    <w:lsdException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qFormat="1" w:unhideWhenUsed="0" w:uiPriority="99" w:name="FollowedHyperlink"/>
    <w:lsdException w:qFormat="1" w:unhideWhenUsed="0" w:uiPriority="0" w:semiHidden="0" w:name="Strong" w:locked="1"/>
    <w:lsdException w:qFormat="1" w:unhideWhenUsed="0" w:uiPriority="99"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qFormat="1" w:unhideWhenUsed="0" w:uiPriority="99" w:name="HTML Address"/>
    <w:lsdException w:qFormat="1" w:unhideWhenUsed="0" w:uiPriority="99" w:name="HTML Cite"/>
    <w:lsdException w:qFormat="1" w:unhideWhenUsed="0"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1"/>
      <w:lang w:val="en-US" w:eastAsia="zh-CN" w:bidi="ar-SA"/>
    </w:rPr>
  </w:style>
  <w:style w:type="paragraph" w:styleId="2">
    <w:name w:val="heading 1"/>
    <w:basedOn w:val="1"/>
    <w:next w:val="1"/>
    <w:link w:val="25"/>
    <w:qFormat/>
    <w:uiPriority w:val="99"/>
    <w:pPr>
      <w:widowControl/>
      <w:spacing w:before="100" w:beforeAutospacing="1" w:after="100" w:afterAutospacing="1"/>
      <w:jc w:val="left"/>
      <w:outlineLvl w:val="0"/>
    </w:pPr>
    <w:rPr>
      <w:rFonts w:ascii="宋体" w:hAnsi="宋体" w:cs="宋体"/>
      <w:kern w:val="36"/>
      <w:sz w:val="48"/>
      <w:szCs w:val="48"/>
    </w:rPr>
  </w:style>
  <w:style w:type="paragraph" w:styleId="3">
    <w:name w:val="heading 2"/>
    <w:basedOn w:val="2"/>
    <w:next w:val="1"/>
    <w:link w:val="26"/>
    <w:qFormat/>
    <w:uiPriority w:val="99"/>
    <w:pPr>
      <w:widowControl/>
      <w:spacing w:before="100" w:beforeAutospacing="1" w:after="100" w:afterAutospacing="1"/>
      <w:jc w:val="left"/>
      <w:outlineLvl w:val="1"/>
    </w:pPr>
    <w:rPr>
      <w:rFonts w:ascii="宋体" w:hAnsi="宋体" w:cs="宋体"/>
      <w:kern w:val="0"/>
      <w:sz w:val="36"/>
      <w:szCs w:val="36"/>
    </w:rPr>
  </w:style>
  <w:style w:type="paragraph" w:styleId="4">
    <w:name w:val="heading 3"/>
    <w:basedOn w:val="1"/>
    <w:next w:val="1"/>
    <w:link w:val="27"/>
    <w:qFormat/>
    <w:uiPriority w:val="99"/>
    <w:pPr>
      <w:widowControl/>
      <w:spacing w:before="100" w:beforeAutospacing="1" w:after="100" w:afterAutospacing="1"/>
      <w:jc w:val="left"/>
      <w:outlineLvl w:val="2"/>
    </w:pPr>
    <w:rPr>
      <w:rFonts w:ascii="宋体" w:hAnsi="宋体" w:cs="宋体"/>
      <w:kern w:val="0"/>
      <w:sz w:val="27"/>
      <w:szCs w:val="27"/>
    </w:rPr>
  </w:style>
  <w:style w:type="paragraph" w:styleId="5">
    <w:name w:val="heading 4"/>
    <w:basedOn w:val="1"/>
    <w:next w:val="1"/>
    <w:link w:val="28"/>
    <w:qFormat/>
    <w:uiPriority w:val="99"/>
    <w:pPr>
      <w:widowControl/>
      <w:spacing w:before="100" w:beforeAutospacing="1" w:after="100" w:afterAutospacing="1"/>
      <w:jc w:val="left"/>
      <w:outlineLvl w:val="3"/>
    </w:pPr>
    <w:rPr>
      <w:rFonts w:ascii="宋体" w:hAnsi="宋体" w:cs="宋体"/>
      <w:kern w:val="0"/>
      <w:sz w:val="24"/>
      <w:szCs w:val="24"/>
    </w:rPr>
  </w:style>
  <w:style w:type="paragraph" w:styleId="6">
    <w:name w:val="heading 5"/>
    <w:basedOn w:val="1"/>
    <w:next w:val="1"/>
    <w:link w:val="29"/>
    <w:qFormat/>
    <w:uiPriority w:val="99"/>
    <w:pPr>
      <w:widowControl/>
      <w:spacing w:before="100" w:beforeAutospacing="1" w:after="100" w:afterAutospacing="1"/>
      <w:jc w:val="left"/>
      <w:outlineLvl w:val="4"/>
    </w:pPr>
    <w:rPr>
      <w:rFonts w:ascii="宋体" w:hAnsi="宋体" w:cs="宋体"/>
      <w:kern w:val="0"/>
      <w:sz w:val="20"/>
      <w:szCs w:val="20"/>
    </w:rPr>
  </w:style>
  <w:style w:type="paragraph" w:styleId="7">
    <w:name w:val="heading 6"/>
    <w:basedOn w:val="1"/>
    <w:next w:val="1"/>
    <w:link w:val="30"/>
    <w:qFormat/>
    <w:uiPriority w:val="99"/>
    <w:pPr>
      <w:widowControl/>
      <w:spacing w:before="100" w:beforeAutospacing="1" w:after="100" w:afterAutospacing="1"/>
      <w:jc w:val="left"/>
      <w:outlineLvl w:val="5"/>
    </w:pPr>
    <w:rPr>
      <w:rFonts w:ascii="宋体" w:hAnsi="宋体" w:cs="宋体"/>
      <w:kern w:val="0"/>
      <w:sz w:val="15"/>
      <w:szCs w:val="15"/>
    </w:rPr>
  </w:style>
  <w:style w:type="character" w:default="1" w:styleId="18">
    <w:name w:val="Default Paragraph Font"/>
    <w:semiHidden/>
    <w:qFormat/>
    <w:uiPriority w:val="99"/>
  </w:style>
  <w:style w:type="table" w:default="1" w:styleId="17">
    <w:name w:val="Normal Table"/>
    <w:unhideWhenUsed/>
    <w:qFormat/>
    <w:uiPriority w:val="99"/>
    <w:tblPr>
      <w:tblCellMar>
        <w:top w:w="0" w:type="dxa"/>
        <w:left w:w="108" w:type="dxa"/>
        <w:bottom w:w="0" w:type="dxa"/>
        <w:right w:w="108" w:type="dxa"/>
      </w:tblCellMar>
    </w:tblPr>
  </w:style>
  <w:style w:type="paragraph" w:styleId="8">
    <w:name w:val="index 5"/>
    <w:basedOn w:val="1"/>
    <w:next w:val="1"/>
    <w:qFormat/>
    <w:uiPriority w:val="99"/>
    <w:pPr>
      <w:ind w:left="1680"/>
    </w:pPr>
  </w:style>
  <w:style w:type="paragraph" w:styleId="9">
    <w:name w:val="Body Text"/>
    <w:basedOn w:val="1"/>
    <w:qFormat/>
    <w:uiPriority w:val="0"/>
  </w:style>
  <w:style w:type="paragraph" w:styleId="10">
    <w:name w:val="HTML Address"/>
    <w:basedOn w:val="1"/>
    <w:link w:val="31"/>
    <w:semiHidden/>
    <w:qFormat/>
    <w:uiPriority w:val="99"/>
    <w:pPr>
      <w:widowControl/>
      <w:jc w:val="left"/>
    </w:pPr>
    <w:rPr>
      <w:rFonts w:ascii="宋体" w:hAnsi="宋体" w:cs="宋体"/>
      <w:kern w:val="0"/>
      <w:sz w:val="24"/>
      <w:szCs w:val="24"/>
    </w:rPr>
  </w:style>
  <w:style w:type="paragraph" w:styleId="11">
    <w:name w:val="Date"/>
    <w:basedOn w:val="1"/>
    <w:next w:val="1"/>
    <w:link w:val="32"/>
    <w:unhideWhenUsed/>
    <w:qFormat/>
    <w:uiPriority w:val="99"/>
    <w:pPr>
      <w:ind w:left="100" w:leftChars="2500"/>
    </w:pPr>
  </w:style>
  <w:style w:type="paragraph" w:styleId="12">
    <w:name w:val="Balloon Text"/>
    <w:basedOn w:val="1"/>
    <w:link w:val="33"/>
    <w:unhideWhenUsed/>
    <w:qFormat/>
    <w:uiPriority w:val="99"/>
    <w:rPr>
      <w:sz w:val="18"/>
      <w:szCs w:val="18"/>
    </w:rPr>
  </w:style>
  <w:style w:type="paragraph" w:styleId="13">
    <w:name w:val="footer"/>
    <w:basedOn w:val="1"/>
    <w:link w:val="34"/>
    <w:qFormat/>
    <w:uiPriority w:val="99"/>
    <w:pPr>
      <w:tabs>
        <w:tab w:val="center" w:pos="4153"/>
        <w:tab w:val="right" w:pos="8306"/>
      </w:tabs>
      <w:snapToGrid w:val="0"/>
      <w:jc w:val="left"/>
    </w:pPr>
    <w:rPr>
      <w:sz w:val="18"/>
      <w:szCs w:val="18"/>
    </w:rPr>
  </w:style>
  <w:style w:type="paragraph" w:styleId="14">
    <w:name w:val="header"/>
    <w:basedOn w:val="1"/>
    <w:link w:val="35"/>
    <w:semiHidden/>
    <w:qFormat/>
    <w:uiPriority w:val="99"/>
    <w:pPr>
      <w:pBdr>
        <w:bottom w:val="single" w:color="auto" w:sz="6" w:space="1"/>
      </w:pBdr>
      <w:tabs>
        <w:tab w:val="center" w:pos="4153"/>
        <w:tab w:val="right" w:pos="8306"/>
      </w:tabs>
      <w:snapToGrid w:val="0"/>
      <w:jc w:val="center"/>
    </w:pPr>
    <w:rPr>
      <w:sz w:val="18"/>
      <w:szCs w:val="18"/>
    </w:rPr>
  </w:style>
  <w:style w:type="paragraph" w:styleId="15">
    <w:name w:val="toc 2"/>
    <w:basedOn w:val="1"/>
    <w:next w:val="1"/>
    <w:qFormat/>
    <w:locked/>
    <w:uiPriority w:val="39"/>
    <w:pPr>
      <w:ind w:left="420" w:leftChars="200"/>
    </w:pPr>
    <w:rPr>
      <w:rFonts w:ascii="Calibri" w:hAnsi="Calibri" w:eastAsia="宋体" w:cs="Times New Roman"/>
      <w:szCs w:val="22"/>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19">
    <w:name w:val="page number"/>
    <w:qFormat/>
    <w:uiPriority w:val="0"/>
  </w:style>
  <w:style w:type="character" w:styleId="20">
    <w:name w:val="FollowedHyperlink"/>
    <w:semiHidden/>
    <w:qFormat/>
    <w:uiPriority w:val="99"/>
    <w:rPr>
      <w:color w:val="auto"/>
      <w:u w:val="none"/>
    </w:rPr>
  </w:style>
  <w:style w:type="character" w:styleId="21">
    <w:name w:val="Emphasis"/>
    <w:qFormat/>
    <w:uiPriority w:val="99"/>
  </w:style>
  <w:style w:type="character" w:styleId="22">
    <w:name w:val="Hyperlink"/>
    <w:semiHidden/>
    <w:qFormat/>
    <w:uiPriority w:val="99"/>
    <w:rPr>
      <w:color w:val="auto"/>
      <w:u w:val="none"/>
    </w:rPr>
  </w:style>
  <w:style w:type="character" w:styleId="23">
    <w:name w:val="HTML Code"/>
    <w:semiHidden/>
    <w:qFormat/>
    <w:uiPriority w:val="99"/>
    <w:rPr>
      <w:rFonts w:ascii="宋体" w:hAnsi="宋体" w:eastAsia="宋体" w:cs="宋体"/>
      <w:sz w:val="24"/>
      <w:szCs w:val="24"/>
    </w:rPr>
  </w:style>
  <w:style w:type="character" w:styleId="24">
    <w:name w:val="HTML Cite"/>
    <w:semiHidden/>
    <w:qFormat/>
    <w:uiPriority w:val="99"/>
  </w:style>
  <w:style w:type="character" w:customStyle="1" w:styleId="25">
    <w:name w:val="标题 1 Char"/>
    <w:link w:val="2"/>
    <w:qFormat/>
    <w:locked/>
    <w:uiPriority w:val="99"/>
    <w:rPr>
      <w:rFonts w:ascii="宋体" w:hAnsi="宋体" w:eastAsia="宋体" w:cs="宋体"/>
      <w:kern w:val="36"/>
      <w:sz w:val="48"/>
      <w:szCs w:val="48"/>
    </w:rPr>
  </w:style>
  <w:style w:type="character" w:customStyle="1" w:styleId="26">
    <w:name w:val="标题 2 Char"/>
    <w:link w:val="3"/>
    <w:qFormat/>
    <w:locked/>
    <w:uiPriority w:val="99"/>
    <w:rPr>
      <w:rFonts w:ascii="宋体" w:hAnsi="宋体" w:eastAsia="宋体" w:cs="宋体"/>
      <w:kern w:val="0"/>
      <w:sz w:val="36"/>
      <w:szCs w:val="36"/>
    </w:rPr>
  </w:style>
  <w:style w:type="character" w:customStyle="1" w:styleId="27">
    <w:name w:val="标题 3 Char"/>
    <w:link w:val="4"/>
    <w:qFormat/>
    <w:locked/>
    <w:uiPriority w:val="99"/>
    <w:rPr>
      <w:rFonts w:ascii="宋体" w:hAnsi="宋体" w:eastAsia="宋体" w:cs="宋体"/>
      <w:kern w:val="0"/>
      <w:sz w:val="27"/>
      <w:szCs w:val="27"/>
    </w:rPr>
  </w:style>
  <w:style w:type="character" w:customStyle="1" w:styleId="28">
    <w:name w:val="标题 4 Char"/>
    <w:link w:val="5"/>
    <w:qFormat/>
    <w:locked/>
    <w:uiPriority w:val="99"/>
    <w:rPr>
      <w:rFonts w:ascii="宋体" w:hAnsi="宋体" w:eastAsia="宋体" w:cs="宋体"/>
      <w:kern w:val="0"/>
      <w:sz w:val="24"/>
      <w:szCs w:val="24"/>
    </w:rPr>
  </w:style>
  <w:style w:type="character" w:customStyle="1" w:styleId="29">
    <w:name w:val="标题 5 Char"/>
    <w:link w:val="6"/>
    <w:qFormat/>
    <w:locked/>
    <w:uiPriority w:val="99"/>
    <w:rPr>
      <w:rFonts w:ascii="宋体" w:hAnsi="宋体" w:eastAsia="宋体" w:cs="宋体"/>
      <w:kern w:val="0"/>
      <w:sz w:val="20"/>
      <w:szCs w:val="20"/>
    </w:rPr>
  </w:style>
  <w:style w:type="character" w:customStyle="1" w:styleId="30">
    <w:name w:val="标题 6 Char"/>
    <w:link w:val="7"/>
    <w:qFormat/>
    <w:locked/>
    <w:uiPriority w:val="99"/>
    <w:rPr>
      <w:rFonts w:ascii="宋体" w:hAnsi="宋体" w:eastAsia="宋体" w:cs="宋体"/>
      <w:kern w:val="0"/>
      <w:sz w:val="15"/>
      <w:szCs w:val="15"/>
    </w:rPr>
  </w:style>
  <w:style w:type="character" w:customStyle="1" w:styleId="31">
    <w:name w:val="HTML 地址 Char"/>
    <w:link w:val="10"/>
    <w:semiHidden/>
    <w:qFormat/>
    <w:locked/>
    <w:uiPriority w:val="99"/>
    <w:rPr>
      <w:rFonts w:ascii="宋体" w:hAnsi="宋体" w:eastAsia="宋体" w:cs="宋体"/>
      <w:kern w:val="0"/>
      <w:sz w:val="24"/>
      <w:szCs w:val="24"/>
    </w:rPr>
  </w:style>
  <w:style w:type="character" w:customStyle="1" w:styleId="32">
    <w:name w:val="日期 Char"/>
    <w:link w:val="11"/>
    <w:semiHidden/>
    <w:qFormat/>
    <w:uiPriority w:val="99"/>
    <w:rPr>
      <w:rFonts w:cs="Calibri"/>
      <w:kern w:val="2"/>
      <w:sz w:val="21"/>
      <w:szCs w:val="21"/>
    </w:rPr>
  </w:style>
  <w:style w:type="character" w:customStyle="1" w:styleId="33">
    <w:name w:val="批注框文本 Char"/>
    <w:link w:val="12"/>
    <w:semiHidden/>
    <w:qFormat/>
    <w:uiPriority w:val="99"/>
    <w:rPr>
      <w:rFonts w:cs="Calibri"/>
      <w:kern w:val="2"/>
      <w:sz w:val="18"/>
      <w:szCs w:val="18"/>
    </w:rPr>
  </w:style>
  <w:style w:type="character" w:customStyle="1" w:styleId="34">
    <w:name w:val="页脚 Char"/>
    <w:link w:val="13"/>
    <w:qFormat/>
    <w:locked/>
    <w:uiPriority w:val="99"/>
    <w:rPr>
      <w:sz w:val="18"/>
      <w:szCs w:val="18"/>
    </w:rPr>
  </w:style>
  <w:style w:type="character" w:customStyle="1" w:styleId="35">
    <w:name w:val="页眉 Char"/>
    <w:link w:val="14"/>
    <w:semiHidden/>
    <w:qFormat/>
    <w:locked/>
    <w:uiPriority w:val="99"/>
    <w:rPr>
      <w:sz w:val="18"/>
      <w:szCs w:val="18"/>
    </w:rPr>
  </w:style>
  <w:style w:type="character" w:customStyle="1" w:styleId="36">
    <w:name w:val="hj-easyread-speakerprocesser-position-action-icon1"/>
    <w:qFormat/>
    <w:uiPriority w:val="99"/>
    <w:rPr>
      <w:shd w:val="clear" w:color="auto" w:fill="auto"/>
    </w:rPr>
  </w:style>
  <w:style w:type="character" w:customStyle="1" w:styleId="37">
    <w:name w:val="hj-easyread-speakerprocesser-position-action-icon"/>
    <w:qFormat/>
    <w:uiPriority w:val="99"/>
  </w:style>
  <w:style w:type="paragraph" w:customStyle="1" w:styleId="38">
    <w:name w:val="curren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39">
    <w:name w:val="zwgk_nav_span"/>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40">
    <w:name w:val="line_3_solid"/>
    <w:basedOn w:val="1"/>
    <w:qFormat/>
    <w:uiPriority w:val="99"/>
    <w:pPr>
      <w:widowControl/>
      <w:pBdr>
        <w:left w:val="single" w:color="CCCCCC" w:sz="6" w:space="0"/>
        <w:bottom w:val="single" w:color="CCCCCC" w:sz="6" w:space="0"/>
        <w:right w:val="single" w:color="CCCCCC" w:sz="6" w:space="0"/>
      </w:pBdr>
      <w:spacing w:before="100" w:beforeAutospacing="1" w:after="100" w:afterAutospacing="1"/>
      <w:jc w:val="left"/>
    </w:pPr>
    <w:rPr>
      <w:rFonts w:ascii="宋体" w:hAnsi="宋体" w:cs="宋体"/>
      <w:kern w:val="0"/>
      <w:sz w:val="24"/>
      <w:szCs w:val="24"/>
    </w:rPr>
  </w:style>
  <w:style w:type="paragraph" w:customStyle="1" w:styleId="41">
    <w:name w:val="line2"/>
    <w:basedOn w:val="1"/>
    <w:qFormat/>
    <w:uiPriority w:val="99"/>
    <w:pPr>
      <w:widowControl/>
      <w:pBdr>
        <w:bottom w:val="dotted" w:color="CCCCCC" w:sz="6" w:space="0"/>
      </w:pBdr>
      <w:spacing w:before="100" w:beforeAutospacing="1" w:after="100" w:afterAutospacing="1"/>
      <w:jc w:val="left"/>
    </w:pPr>
    <w:rPr>
      <w:rFonts w:ascii="宋体" w:hAnsi="宋体" w:cs="宋体"/>
      <w:kern w:val="0"/>
      <w:sz w:val="24"/>
      <w:szCs w:val="24"/>
    </w:rPr>
  </w:style>
  <w:style w:type="paragraph" w:customStyle="1" w:styleId="42">
    <w:name w:val="cf14"/>
    <w:basedOn w:val="1"/>
    <w:qFormat/>
    <w:uiPriority w:val="99"/>
    <w:pPr>
      <w:widowControl/>
      <w:spacing w:before="100" w:beforeAutospacing="1" w:after="100" w:afterAutospacing="1"/>
      <w:jc w:val="left"/>
    </w:pPr>
    <w:rPr>
      <w:rFonts w:ascii="宋体" w:hAnsi="宋体" w:cs="宋体"/>
      <w:kern w:val="0"/>
    </w:rPr>
  </w:style>
  <w:style w:type="paragraph" w:customStyle="1" w:styleId="43">
    <w:name w:val="页眉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44">
    <w:name w:val="line_bottom_red"/>
    <w:basedOn w:val="1"/>
    <w:qFormat/>
    <w:uiPriority w:val="99"/>
    <w:pPr>
      <w:widowControl/>
      <w:pBdr>
        <w:bottom w:val="single" w:color="CC0000" w:sz="12" w:space="0"/>
      </w:pBdr>
      <w:spacing w:before="100" w:beforeAutospacing="1" w:after="100" w:afterAutospacing="1"/>
      <w:jc w:val="left"/>
    </w:pPr>
    <w:rPr>
      <w:rFonts w:ascii="宋体" w:hAnsi="宋体" w:cs="宋体"/>
      <w:kern w:val="0"/>
      <w:sz w:val="24"/>
      <w:szCs w:val="24"/>
    </w:rPr>
  </w:style>
  <w:style w:type="paragraph" w:customStyle="1" w:styleId="45">
    <w:name w:val="zwgk_nav2"/>
    <w:basedOn w:val="1"/>
    <w:qFormat/>
    <w:uiPriority w:val="99"/>
    <w:pPr>
      <w:widowControl/>
      <w:pBdr>
        <w:top w:val="single" w:color="CCCCCC" w:sz="6" w:space="0"/>
        <w:left w:val="single" w:color="CCCCCC" w:sz="6" w:space="0"/>
        <w:bottom w:val="single" w:color="CCCCCC" w:sz="6" w:space="0"/>
        <w:right w:val="single" w:color="CCCCCC" w:sz="6" w:space="0"/>
      </w:pBdr>
      <w:spacing w:before="100" w:beforeAutospacing="1" w:after="105" w:line="570" w:lineRule="atLeast"/>
      <w:jc w:val="left"/>
    </w:pPr>
    <w:rPr>
      <w:rFonts w:ascii="宋体" w:hAnsi="宋体" w:cs="宋体"/>
      <w:kern w:val="0"/>
      <w:sz w:val="24"/>
      <w:szCs w:val="24"/>
    </w:rPr>
  </w:style>
  <w:style w:type="paragraph" w:customStyle="1" w:styleId="46">
    <w:name w:val="line"/>
    <w:basedOn w:val="1"/>
    <w:qFormat/>
    <w:uiPriority w:val="99"/>
    <w:pPr>
      <w:widowControl/>
      <w:pBdr>
        <w:top w:val="single" w:color="CCCCCC" w:sz="6" w:space="0"/>
        <w:left w:val="single" w:color="CCCCCC" w:sz="6" w:space="0"/>
        <w:bottom w:val="single" w:color="CCCCCC" w:sz="6" w:space="0"/>
        <w:right w:val="single" w:color="CCCCCC" w:sz="6" w:space="0"/>
      </w:pBdr>
      <w:spacing w:before="100" w:beforeAutospacing="1" w:after="100" w:afterAutospacing="1"/>
      <w:jc w:val="left"/>
    </w:pPr>
    <w:rPr>
      <w:rFonts w:ascii="宋体" w:hAnsi="宋体" w:cs="宋体"/>
      <w:kern w:val="0"/>
      <w:sz w:val="24"/>
      <w:szCs w:val="24"/>
    </w:rPr>
  </w:style>
  <w:style w:type="paragraph" w:customStyle="1" w:styleId="47">
    <w:name w:val="hj-easyread-sider-btns-item"/>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48">
    <w:name w:val="w9801"/>
    <w:basedOn w:val="1"/>
    <w:qFormat/>
    <w:uiPriority w:val="99"/>
    <w:pPr>
      <w:widowControl/>
      <w:jc w:val="left"/>
    </w:pPr>
    <w:rPr>
      <w:rFonts w:ascii="宋体" w:hAnsi="宋体" w:cs="宋体"/>
      <w:kern w:val="0"/>
      <w:sz w:val="24"/>
      <w:szCs w:val="24"/>
    </w:rPr>
  </w:style>
  <w:style w:type="paragraph" w:customStyle="1" w:styleId="49">
    <w:name w:val="top_tab"/>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50">
    <w:name w:val="zwgk_nav5"/>
    <w:basedOn w:val="1"/>
    <w:qFormat/>
    <w:uiPriority w:val="99"/>
    <w:pPr>
      <w:widowControl/>
      <w:pBdr>
        <w:top w:val="single" w:color="CCCCCC" w:sz="6" w:space="0"/>
        <w:left w:val="single" w:color="CCCCCC" w:sz="6" w:space="0"/>
        <w:bottom w:val="single" w:color="CCCCCC" w:sz="6" w:space="0"/>
        <w:right w:val="single" w:color="CCCCCC" w:sz="6" w:space="0"/>
      </w:pBdr>
      <w:spacing w:before="100" w:beforeAutospacing="1" w:after="105" w:line="570" w:lineRule="atLeast"/>
      <w:jc w:val="left"/>
    </w:pPr>
    <w:rPr>
      <w:rFonts w:ascii="宋体" w:hAnsi="宋体" w:cs="宋体"/>
      <w:kern w:val="0"/>
      <w:sz w:val="24"/>
      <w:szCs w:val="24"/>
    </w:rPr>
  </w:style>
  <w:style w:type="paragraph" w:customStyle="1" w:styleId="51">
    <w:name w:val="cgray"/>
    <w:basedOn w:val="1"/>
    <w:qFormat/>
    <w:uiPriority w:val="99"/>
    <w:pPr>
      <w:widowControl/>
      <w:spacing w:before="100" w:beforeAutospacing="1" w:after="100" w:afterAutospacing="1"/>
      <w:jc w:val="left"/>
    </w:pPr>
    <w:rPr>
      <w:rFonts w:ascii="宋体" w:hAnsi="宋体" w:cs="宋体"/>
      <w:color w:val="999999"/>
      <w:kern w:val="0"/>
      <w:sz w:val="24"/>
      <w:szCs w:val="24"/>
    </w:rPr>
  </w:style>
  <w:style w:type="paragraph" w:customStyle="1" w:styleId="52">
    <w:name w:val="fb"/>
    <w:basedOn w:val="1"/>
    <w:qFormat/>
    <w:uiPriority w:val="99"/>
    <w:pPr>
      <w:widowControl/>
      <w:spacing w:before="100" w:beforeAutospacing="1" w:after="100" w:afterAutospacing="1"/>
      <w:jc w:val="left"/>
    </w:pPr>
    <w:rPr>
      <w:rFonts w:ascii="宋体" w:hAnsi="宋体" w:cs="宋体"/>
      <w:b/>
      <w:bCs/>
      <w:kern w:val="0"/>
      <w:sz w:val="24"/>
      <w:szCs w:val="24"/>
    </w:rPr>
  </w:style>
  <w:style w:type="paragraph" w:customStyle="1" w:styleId="53">
    <w:name w:val="date1"/>
    <w:basedOn w:val="1"/>
    <w:qFormat/>
    <w:uiPriority w:val="99"/>
    <w:pPr>
      <w:widowControl/>
      <w:spacing w:before="100" w:beforeAutospacing="1" w:after="100" w:afterAutospacing="1"/>
      <w:jc w:val="center"/>
    </w:pPr>
    <w:rPr>
      <w:rFonts w:ascii="宋体" w:hAnsi="宋体" w:cs="宋体"/>
      <w:kern w:val="0"/>
      <w:sz w:val="18"/>
      <w:szCs w:val="18"/>
    </w:rPr>
  </w:style>
  <w:style w:type="paragraph" w:customStyle="1" w:styleId="54">
    <w:name w:val="rightline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55">
    <w:name w:val="zwgk_right_nav"/>
    <w:basedOn w:val="1"/>
    <w:qFormat/>
    <w:uiPriority w:val="99"/>
    <w:pPr>
      <w:widowControl/>
      <w:spacing w:before="100" w:beforeAutospacing="1" w:after="100" w:afterAutospacing="1" w:line="525" w:lineRule="atLeast"/>
      <w:jc w:val="center"/>
    </w:pPr>
    <w:rPr>
      <w:rFonts w:ascii="宋体" w:hAnsi="宋体" w:cs="宋体"/>
      <w:color w:val="AD0606"/>
      <w:kern w:val="0"/>
      <w:sz w:val="24"/>
      <w:szCs w:val="24"/>
    </w:rPr>
  </w:style>
  <w:style w:type="paragraph" w:customStyle="1" w:styleId="56">
    <w:name w:val="martop9"/>
    <w:basedOn w:val="1"/>
    <w:qFormat/>
    <w:uiPriority w:val="99"/>
    <w:pPr>
      <w:widowControl/>
      <w:spacing w:before="135" w:after="100" w:afterAutospacing="1"/>
      <w:jc w:val="left"/>
    </w:pPr>
    <w:rPr>
      <w:rFonts w:ascii="宋体" w:hAnsi="宋体" w:cs="宋体"/>
      <w:kern w:val="0"/>
      <w:sz w:val="24"/>
      <w:szCs w:val="24"/>
    </w:rPr>
  </w:style>
  <w:style w:type="paragraph" w:customStyle="1" w:styleId="57">
    <w:name w:val="newsconcent"/>
    <w:basedOn w:val="1"/>
    <w:qFormat/>
    <w:uiPriority w:val="99"/>
    <w:pPr>
      <w:widowControl/>
      <w:spacing w:before="150" w:after="100" w:afterAutospacing="1"/>
      <w:jc w:val="left"/>
    </w:pPr>
    <w:rPr>
      <w:rFonts w:ascii="宋体" w:hAnsi="宋体" w:cs="宋体"/>
      <w:kern w:val="0"/>
      <w:sz w:val="24"/>
      <w:szCs w:val="24"/>
    </w:rPr>
  </w:style>
  <w:style w:type="paragraph" w:customStyle="1" w:styleId="58">
    <w:name w:val="gsgg"/>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59">
    <w:name w:val="smooth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60">
    <w:name w:val="titlefon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61">
    <w:name w:val="zwgk_right_nav1"/>
    <w:basedOn w:val="1"/>
    <w:qFormat/>
    <w:uiPriority w:val="99"/>
    <w:pPr>
      <w:widowControl/>
      <w:spacing w:before="100" w:beforeAutospacing="1" w:after="100" w:afterAutospacing="1" w:line="525" w:lineRule="atLeast"/>
      <w:jc w:val="center"/>
    </w:pPr>
    <w:rPr>
      <w:rFonts w:ascii="宋体" w:hAnsi="宋体" w:cs="宋体"/>
      <w:kern w:val="0"/>
      <w:sz w:val="24"/>
      <w:szCs w:val="24"/>
    </w:rPr>
  </w:style>
  <w:style w:type="paragraph" w:customStyle="1" w:styleId="62">
    <w:name w:val="smooth-lf"/>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63">
    <w:name w:val="tr_color_1"/>
    <w:basedOn w:val="1"/>
    <w:qFormat/>
    <w:uiPriority w:val="99"/>
    <w:pPr>
      <w:widowControl/>
      <w:shd w:val="clear" w:color="auto" w:fill="F7F7F7"/>
      <w:spacing w:before="100" w:beforeAutospacing="1" w:after="100" w:afterAutospacing="1"/>
      <w:jc w:val="left"/>
    </w:pPr>
    <w:rPr>
      <w:rFonts w:ascii="宋体" w:hAnsi="宋体" w:cs="宋体"/>
      <w:kern w:val="0"/>
      <w:sz w:val="24"/>
      <w:szCs w:val="24"/>
    </w:rPr>
  </w:style>
  <w:style w:type="paragraph" w:customStyle="1" w:styleId="64">
    <w:name w:val="topinpu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65">
    <w:name w:val="newslist_red"/>
    <w:basedOn w:val="1"/>
    <w:qFormat/>
    <w:uiPriority w:val="99"/>
    <w:pPr>
      <w:widowControl/>
      <w:pBdr>
        <w:bottom w:val="single" w:color="CC0000" w:sz="12" w:space="0"/>
      </w:pBdr>
      <w:spacing w:before="100" w:beforeAutospacing="1" w:after="100" w:afterAutospacing="1" w:line="525" w:lineRule="atLeast"/>
      <w:jc w:val="center"/>
    </w:pPr>
    <w:rPr>
      <w:rFonts w:ascii="宋体" w:hAnsi="宋体" w:cs="宋体"/>
      <w:color w:val="AD0606"/>
      <w:kern w:val="0"/>
    </w:rPr>
  </w:style>
  <w:style w:type="paragraph" w:customStyle="1" w:styleId="66">
    <w:name w:val="bs_btn"/>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67">
    <w:name w:val="leftline"/>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68">
    <w:name w:val="页脚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69">
    <w:name w:val="hj-easyread-icons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70">
    <w:name w:val="line_bottom_dotted"/>
    <w:basedOn w:val="1"/>
    <w:qFormat/>
    <w:uiPriority w:val="99"/>
    <w:pPr>
      <w:widowControl/>
      <w:pBdr>
        <w:bottom w:val="dotted" w:color="CCCCCC" w:sz="6" w:space="0"/>
      </w:pBdr>
      <w:spacing w:before="100" w:beforeAutospacing="1" w:after="100" w:afterAutospacing="1"/>
      <w:jc w:val="left"/>
    </w:pPr>
    <w:rPr>
      <w:rFonts w:ascii="宋体" w:hAnsi="宋体" w:cs="宋体"/>
      <w:kern w:val="0"/>
      <w:sz w:val="24"/>
      <w:szCs w:val="24"/>
    </w:rPr>
  </w:style>
  <w:style w:type="paragraph" w:customStyle="1" w:styleId="71">
    <w:name w:val="main"/>
    <w:basedOn w:val="1"/>
    <w:qFormat/>
    <w:uiPriority w:val="99"/>
    <w:pPr>
      <w:widowControl/>
      <w:shd w:val="clear" w:color="auto" w:fill="EBE9EA"/>
      <w:spacing w:before="100" w:beforeAutospacing="1" w:after="100" w:afterAutospacing="1"/>
      <w:jc w:val="left"/>
    </w:pPr>
    <w:rPr>
      <w:rFonts w:ascii="宋体" w:hAnsi="宋体" w:cs="宋体"/>
      <w:kern w:val="0"/>
      <w:sz w:val="24"/>
      <w:szCs w:val="24"/>
    </w:rPr>
  </w:style>
  <w:style w:type="paragraph" w:customStyle="1" w:styleId="72">
    <w:name w:val="xl_titel"/>
    <w:basedOn w:val="1"/>
    <w:qFormat/>
    <w:uiPriority w:val="99"/>
    <w:pPr>
      <w:widowControl/>
      <w:spacing w:before="100" w:beforeAutospacing="1" w:after="100" w:afterAutospacing="1"/>
      <w:jc w:val="left"/>
    </w:pPr>
    <w:rPr>
      <w:rFonts w:ascii="宋体" w:hAnsi="宋体" w:cs="宋体"/>
      <w:kern w:val="0"/>
      <w:sz w:val="36"/>
      <w:szCs w:val="36"/>
    </w:rPr>
  </w:style>
  <w:style w:type="paragraph" w:customStyle="1" w:styleId="73">
    <w:name w:val="w98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74">
    <w:name w:val="bsfw_top_titel"/>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75">
    <w:name w:val="bann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76">
    <w:name w:val="hj-easyread-contain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77">
    <w:name w:val="gsgg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78">
    <w:name w:val="tabmore"/>
    <w:basedOn w:val="1"/>
    <w:qFormat/>
    <w:uiPriority w:val="99"/>
    <w:pPr>
      <w:widowControl/>
      <w:spacing w:before="100" w:beforeAutospacing="1" w:after="100" w:afterAutospacing="1" w:line="450" w:lineRule="atLeast"/>
      <w:jc w:val="left"/>
    </w:pPr>
    <w:rPr>
      <w:rFonts w:ascii="宋体" w:hAnsi="宋体" w:cs="宋体"/>
      <w:kern w:val="0"/>
      <w:sz w:val="24"/>
      <w:szCs w:val="24"/>
    </w:rPr>
  </w:style>
  <w:style w:type="paragraph" w:customStyle="1" w:styleId="79">
    <w:name w:val="fwym_top_titel"/>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80">
    <w:name w:val="smooth-box"/>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81">
    <w:name w:val="smooth-box1"/>
    <w:basedOn w:val="1"/>
    <w:uiPriority w:val="99"/>
    <w:pPr>
      <w:widowControl/>
      <w:spacing w:before="100" w:beforeAutospacing="1" w:after="100" w:afterAutospacing="1"/>
      <w:jc w:val="right"/>
    </w:pPr>
    <w:rPr>
      <w:rFonts w:ascii="宋体" w:hAnsi="宋体" w:cs="宋体"/>
      <w:kern w:val="0"/>
      <w:sz w:val="24"/>
      <w:szCs w:val="24"/>
    </w:rPr>
  </w:style>
  <w:style w:type="paragraph" w:customStyle="1" w:styleId="82">
    <w:name w:val="grid1"/>
    <w:basedOn w:val="1"/>
    <w:uiPriority w:val="99"/>
    <w:pPr>
      <w:widowControl/>
      <w:pBdr>
        <w:top w:val="single" w:color="DDDDDD" w:sz="6" w:space="2"/>
        <w:left w:val="single" w:color="DDDDDD" w:sz="6" w:space="2"/>
        <w:bottom w:val="single" w:color="DDDDDD" w:sz="6" w:space="2"/>
        <w:right w:val="single" w:color="DDDDDD" w:sz="6" w:space="2"/>
      </w:pBdr>
      <w:jc w:val="left"/>
    </w:pPr>
    <w:rPr>
      <w:rFonts w:ascii="宋体" w:hAnsi="宋体" w:cs="宋体"/>
      <w:kern w:val="0"/>
      <w:sz w:val="24"/>
      <w:szCs w:val="24"/>
    </w:rPr>
  </w:style>
  <w:style w:type="paragraph" w:customStyle="1" w:styleId="83">
    <w:name w:val="btn02"/>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84">
    <w:name w:val="hj-easyread-sider-btns-item1"/>
    <w:basedOn w:val="1"/>
    <w:uiPriority w:val="99"/>
    <w:pPr>
      <w:widowControl/>
      <w:spacing w:before="100" w:beforeAutospacing="1" w:after="100" w:afterAutospacing="1"/>
      <w:jc w:val="left"/>
    </w:pPr>
    <w:rPr>
      <w:rFonts w:ascii="宋体" w:hAnsi="宋体" w:cs="宋体"/>
      <w:vanish/>
      <w:kern w:val="0"/>
      <w:sz w:val="24"/>
      <w:szCs w:val="24"/>
    </w:rPr>
  </w:style>
  <w:style w:type="paragraph" w:customStyle="1" w:styleId="85">
    <w:name w:val="xwsd"/>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86">
    <w:name w:val="zwgk_nav4"/>
    <w:basedOn w:val="1"/>
    <w:uiPriority w:val="99"/>
    <w:pPr>
      <w:widowControl/>
      <w:pBdr>
        <w:top w:val="single" w:color="CCCCCC" w:sz="6" w:space="0"/>
        <w:left w:val="single" w:color="CCCCCC" w:sz="6" w:space="0"/>
        <w:bottom w:val="single" w:color="CCCCCC" w:sz="6" w:space="0"/>
        <w:right w:val="single" w:color="CCCCCC" w:sz="6" w:space="0"/>
      </w:pBdr>
      <w:spacing w:before="100" w:beforeAutospacing="1" w:after="105" w:line="570" w:lineRule="atLeast"/>
      <w:jc w:val="left"/>
    </w:pPr>
    <w:rPr>
      <w:rFonts w:ascii="宋体" w:hAnsi="宋体" w:cs="宋体"/>
      <w:kern w:val="0"/>
      <w:sz w:val="24"/>
      <w:szCs w:val="24"/>
    </w:rPr>
  </w:style>
  <w:style w:type="paragraph" w:customStyle="1" w:styleId="87">
    <w:name w:val="newsbox"/>
    <w:basedOn w:val="1"/>
    <w:uiPriority w:val="99"/>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88">
    <w:name w:val="zwgk_nav3"/>
    <w:basedOn w:val="1"/>
    <w:uiPriority w:val="99"/>
    <w:pPr>
      <w:widowControl/>
      <w:pBdr>
        <w:top w:val="single" w:color="CCCCCC" w:sz="6" w:space="0"/>
        <w:left w:val="single" w:color="CCCCCC" w:sz="6" w:space="0"/>
        <w:bottom w:val="single" w:color="CCCCCC" w:sz="6" w:space="0"/>
        <w:right w:val="single" w:color="CCCCCC" w:sz="6" w:space="0"/>
      </w:pBdr>
      <w:spacing w:before="100" w:beforeAutospacing="1" w:after="105" w:line="570" w:lineRule="atLeast"/>
      <w:jc w:val="left"/>
    </w:pPr>
    <w:rPr>
      <w:rFonts w:ascii="宋体" w:hAnsi="宋体" w:cs="宋体"/>
      <w:kern w:val="0"/>
      <w:sz w:val="24"/>
      <w:szCs w:val="24"/>
    </w:rPr>
  </w:style>
  <w:style w:type="paragraph" w:customStyle="1" w:styleId="89">
    <w:name w:val="rightline"/>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90">
    <w:name w:val="current1"/>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91">
    <w:name w:val="navmenu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92">
    <w:name w:val="newstitle"/>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93">
    <w:name w:val="zwgk"/>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94">
    <w:name w:val="navmenu"/>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95">
    <w:name w:val="newslist_black"/>
    <w:basedOn w:val="1"/>
    <w:qFormat/>
    <w:uiPriority w:val="99"/>
    <w:pPr>
      <w:widowControl/>
      <w:spacing w:before="100" w:beforeAutospacing="1" w:after="100" w:afterAutospacing="1" w:line="525" w:lineRule="atLeast"/>
      <w:jc w:val="center"/>
    </w:pPr>
    <w:rPr>
      <w:rFonts w:ascii="宋体" w:hAnsi="宋体" w:cs="宋体"/>
      <w:kern w:val="0"/>
    </w:rPr>
  </w:style>
  <w:style w:type="paragraph" w:customStyle="1" w:styleId="96">
    <w:name w:val="returntotop-btn"/>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97">
    <w:name w:val="marleft20"/>
    <w:basedOn w:val="1"/>
    <w:qFormat/>
    <w:uiPriority w:val="99"/>
    <w:pPr>
      <w:widowControl/>
      <w:spacing w:before="100" w:beforeAutospacing="1" w:after="100" w:afterAutospacing="1"/>
      <w:ind w:left="300"/>
      <w:jc w:val="left"/>
    </w:pPr>
    <w:rPr>
      <w:rFonts w:ascii="宋体" w:hAnsi="宋体" w:cs="宋体"/>
      <w:kern w:val="0"/>
      <w:sz w:val="24"/>
      <w:szCs w:val="24"/>
    </w:rPr>
  </w:style>
  <w:style w:type="paragraph" w:customStyle="1" w:styleId="98">
    <w:name w:val="zwgk_top_titel"/>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99">
    <w:name w:val="xl_con"/>
    <w:basedOn w:val="1"/>
    <w:qFormat/>
    <w:uiPriority w:val="99"/>
    <w:pPr>
      <w:widowControl/>
      <w:spacing w:before="100" w:beforeAutospacing="1" w:after="100" w:afterAutospacing="1" w:line="450" w:lineRule="atLeast"/>
      <w:jc w:val="left"/>
    </w:pPr>
    <w:rPr>
      <w:rFonts w:ascii="宋体" w:hAnsi="宋体" w:cs="宋体"/>
      <w:kern w:val="0"/>
    </w:rPr>
  </w:style>
  <w:style w:type="paragraph" w:customStyle="1" w:styleId="100">
    <w:name w:val="rightnews1"/>
    <w:basedOn w:val="1"/>
    <w:qFormat/>
    <w:uiPriority w:val="99"/>
    <w:pPr>
      <w:widowControl/>
      <w:spacing w:before="100" w:beforeAutospacing="1" w:after="100" w:afterAutospacing="1"/>
      <w:ind w:left="180"/>
      <w:jc w:val="left"/>
    </w:pPr>
    <w:rPr>
      <w:rFonts w:ascii="宋体" w:hAnsi="宋体" w:cs="宋体"/>
      <w:kern w:val="0"/>
      <w:sz w:val="24"/>
      <w:szCs w:val="24"/>
    </w:rPr>
  </w:style>
  <w:style w:type="paragraph" w:customStyle="1" w:styleId="101">
    <w:name w:val="List Paragraph"/>
    <w:basedOn w:val="1"/>
    <w:qFormat/>
    <w:uiPriority w:val="99"/>
    <w:pPr>
      <w:ind w:firstLine="420" w:firstLineChars="200"/>
    </w:pPr>
  </w:style>
  <w:style w:type="paragraph" w:customStyle="1" w:styleId="102">
    <w:name w:val="vm"/>
    <w:basedOn w:val="1"/>
    <w:qFormat/>
    <w:uiPriority w:val="99"/>
    <w:pPr>
      <w:widowControl/>
      <w:spacing w:before="100" w:beforeAutospacing="1" w:after="100" w:afterAutospacing="1"/>
      <w:jc w:val="left"/>
      <w:textAlignment w:val="center"/>
    </w:pPr>
    <w:rPr>
      <w:rFonts w:ascii="宋体" w:hAnsi="宋体" w:cs="宋体"/>
      <w:kern w:val="0"/>
      <w:sz w:val="24"/>
      <w:szCs w:val="24"/>
    </w:rPr>
  </w:style>
  <w:style w:type="paragraph" w:customStyle="1" w:styleId="103">
    <w:name w:val="zwgk_left_top"/>
    <w:basedOn w:val="1"/>
    <w:qFormat/>
    <w:uiPriority w:val="99"/>
    <w:pPr>
      <w:widowControl/>
      <w:spacing w:before="100" w:beforeAutospacing="1" w:after="100" w:afterAutospacing="1" w:line="495" w:lineRule="atLeast"/>
      <w:jc w:val="left"/>
    </w:pPr>
    <w:rPr>
      <w:rFonts w:ascii="宋体" w:hAnsi="宋体" w:cs="宋体"/>
      <w:b/>
      <w:bCs/>
      <w:color w:val="CC0000"/>
      <w:kern w:val="0"/>
    </w:rPr>
  </w:style>
  <w:style w:type="paragraph" w:customStyle="1" w:styleId="104">
    <w:name w:val="leftline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05">
    <w:name w:val="tipscontrol-btn1"/>
    <w:basedOn w:val="1"/>
    <w:qFormat/>
    <w:uiPriority w:val="99"/>
    <w:pPr>
      <w:widowControl/>
      <w:spacing w:before="100" w:beforeAutospacing="1" w:after="135" w:line="17536" w:lineRule="exact"/>
      <w:jc w:val="left"/>
    </w:pPr>
    <w:rPr>
      <w:rFonts w:ascii="宋体" w:hAnsi="宋体" w:cs="宋体"/>
      <w:kern w:val="0"/>
      <w:sz w:val="2"/>
      <w:szCs w:val="2"/>
    </w:rPr>
  </w:style>
  <w:style w:type="paragraph" w:customStyle="1" w:styleId="106">
    <w:name w:val="hdfw_top_titel"/>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07">
    <w:name w:val="tipscontrol-btn"/>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08">
    <w:name w:val="xwsd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09">
    <w:name w:val="newspic"/>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0">
    <w:name w:val="ymzc_top_titel"/>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1">
    <w:name w:val="tab"/>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2">
    <w:name w:val="hj-easyread-smoothtips"/>
    <w:basedOn w:val="1"/>
    <w:qFormat/>
    <w:uiPriority w:val="99"/>
    <w:pPr>
      <w:widowControl/>
      <w:shd w:val="clear" w:color="auto" w:fill="DEDEDE"/>
      <w:spacing w:before="100" w:beforeAutospacing="1" w:after="100" w:afterAutospacing="1"/>
      <w:jc w:val="left"/>
    </w:pPr>
    <w:rPr>
      <w:rFonts w:ascii="宋体" w:hAnsi="宋体" w:cs="宋体"/>
      <w:kern w:val="0"/>
      <w:sz w:val="24"/>
      <w:szCs w:val="24"/>
    </w:rPr>
  </w:style>
  <w:style w:type="paragraph" w:customStyle="1" w:styleId="113">
    <w:name w:val="zwgk_top"/>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4">
    <w:name w:val="search"/>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5">
    <w:name w:val="topbtn"/>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6">
    <w:name w:val="line_top_red"/>
    <w:basedOn w:val="1"/>
    <w:qFormat/>
    <w:uiPriority w:val="99"/>
    <w:pPr>
      <w:widowControl/>
      <w:pBdr>
        <w:top w:val="single" w:color="CC0000" w:sz="12" w:space="0"/>
      </w:pBdr>
      <w:spacing w:before="100" w:beforeAutospacing="1" w:after="100" w:afterAutospacing="1"/>
      <w:jc w:val="left"/>
    </w:pPr>
    <w:rPr>
      <w:rFonts w:ascii="宋体" w:hAnsi="宋体" w:cs="宋体"/>
      <w:kern w:val="0"/>
      <w:sz w:val="24"/>
      <w:szCs w:val="24"/>
    </w:rPr>
  </w:style>
  <w:style w:type="paragraph" w:customStyle="1" w:styleId="117">
    <w:name w:val="navbox"/>
    <w:basedOn w:val="1"/>
    <w:qFormat/>
    <w:uiPriority w:val="99"/>
    <w:pPr>
      <w:widowControl/>
      <w:shd w:val="clear" w:color="auto" w:fill="CC1C1E"/>
      <w:spacing w:before="100" w:beforeAutospacing="1" w:after="100" w:afterAutospacing="1"/>
      <w:jc w:val="left"/>
    </w:pPr>
    <w:rPr>
      <w:rFonts w:ascii="宋体" w:hAnsi="宋体" w:cs="宋体"/>
      <w:kern w:val="0"/>
      <w:sz w:val="24"/>
      <w:szCs w:val="24"/>
    </w:rPr>
  </w:style>
  <w:style w:type="paragraph" w:customStyle="1" w:styleId="118">
    <w:name w:val="link_line"/>
    <w:basedOn w:val="1"/>
    <w:qFormat/>
    <w:uiPriority w:val="99"/>
    <w:pPr>
      <w:widowControl/>
      <w:pBdr>
        <w:bottom w:val="single" w:color="CC0000" w:sz="18" w:space="0"/>
      </w:pBdr>
      <w:spacing w:before="100" w:beforeAutospacing="1" w:after="100" w:afterAutospacing="1"/>
      <w:jc w:val="left"/>
    </w:pPr>
    <w:rPr>
      <w:rFonts w:ascii="宋体" w:hAnsi="宋体" w:cs="宋体"/>
      <w:kern w:val="0"/>
      <w:sz w:val="24"/>
      <w:szCs w:val="24"/>
    </w:rPr>
  </w:style>
  <w:style w:type="paragraph" w:customStyle="1" w:styleId="119">
    <w:name w:val="nav"/>
    <w:basedOn w:val="1"/>
    <w:qFormat/>
    <w:uiPriority w:val="99"/>
    <w:pPr>
      <w:widowControl/>
      <w:spacing w:before="100" w:beforeAutospacing="1" w:after="100" w:afterAutospacing="1" w:line="495" w:lineRule="atLeast"/>
      <w:jc w:val="left"/>
    </w:pPr>
    <w:rPr>
      <w:rFonts w:ascii="宋体" w:hAnsi="宋体" w:cs="宋体"/>
      <w:color w:val="FFFFFF"/>
      <w:kern w:val="0"/>
    </w:rPr>
  </w:style>
  <w:style w:type="paragraph" w:customStyle="1" w:styleId="120">
    <w:name w:val="zwgk_nav1"/>
    <w:basedOn w:val="1"/>
    <w:qFormat/>
    <w:uiPriority w:val="99"/>
    <w:pPr>
      <w:widowControl/>
      <w:pBdr>
        <w:top w:val="single" w:color="CCCCCC" w:sz="6" w:space="0"/>
        <w:left w:val="single" w:color="CCCCCC" w:sz="6" w:space="0"/>
        <w:bottom w:val="single" w:color="CCCCCC" w:sz="6" w:space="0"/>
        <w:right w:val="single" w:color="CCCCCC" w:sz="6" w:space="0"/>
      </w:pBdr>
      <w:spacing w:before="100" w:beforeAutospacing="1" w:after="105" w:line="570" w:lineRule="atLeast"/>
      <w:jc w:val="left"/>
    </w:pPr>
    <w:rPr>
      <w:rFonts w:ascii="宋体" w:hAnsi="宋体" w:cs="宋体"/>
      <w:kern w:val="0"/>
      <w:sz w:val="24"/>
      <w:szCs w:val="24"/>
    </w:rPr>
  </w:style>
  <w:style w:type="paragraph" w:customStyle="1" w:styleId="121">
    <w:name w:val="top_nav"/>
    <w:basedOn w:val="1"/>
    <w:qFormat/>
    <w:uiPriority w:val="99"/>
    <w:pPr>
      <w:widowControl/>
      <w:shd w:val="clear" w:color="auto" w:fill="CC1C1E"/>
      <w:spacing w:before="100" w:beforeAutospacing="1" w:after="100" w:afterAutospacing="1"/>
      <w:jc w:val="left"/>
    </w:pPr>
    <w:rPr>
      <w:rFonts w:ascii="宋体" w:hAnsi="宋体" w:cs="宋体"/>
      <w:kern w:val="0"/>
      <w:sz w:val="24"/>
      <w:szCs w:val="24"/>
    </w:rPr>
  </w:style>
  <w:style w:type="paragraph" w:customStyle="1" w:styleId="122">
    <w:name w:val="cwhite"/>
    <w:basedOn w:val="1"/>
    <w:qFormat/>
    <w:uiPriority w:val="99"/>
    <w:pPr>
      <w:widowControl/>
      <w:spacing w:before="100" w:beforeAutospacing="1" w:after="100" w:afterAutospacing="1"/>
      <w:jc w:val="left"/>
    </w:pPr>
    <w:rPr>
      <w:rFonts w:ascii="宋体" w:hAnsi="宋体" w:cs="宋体"/>
      <w:color w:val="FFFFFF"/>
      <w:kern w:val="0"/>
      <w:sz w:val="24"/>
      <w:szCs w:val="24"/>
    </w:rPr>
  </w:style>
  <w:style w:type="paragraph" w:customStyle="1" w:styleId="123">
    <w:name w:val="smooth"/>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24">
    <w:name w:val="returntotop-btn1"/>
    <w:basedOn w:val="1"/>
    <w:qFormat/>
    <w:uiPriority w:val="99"/>
    <w:pPr>
      <w:widowControl/>
      <w:spacing w:before="100" w:beforeAutospacing="1" w:after="100" w:afterAutospacing="1" w:line="17536" w:lineRule="exact"/>
      <w:jc w:val="left"/>
    </w:pPr>
    <w:rPr>
      <w:rFonts w:ascii="宋体" w:hAnsi="宋体" w:cs="宋体"/>
      <w:kern w:val="0"/>
      <w:sz w:val="2"/>
      <w:szCs w:val="2"/>
    </w:rPr>
  </w:style>
  <w:style w:type="paragraph" w:customStyle="1" w:styleId="125">
    <w:name w:val="bs_tab_bar"/>
    <w:basedOn w:val="1"/>
    <w:qFormat/>
    <w:uiPriority w:val="99"/>
    <w:pPr>
      <w:widowControl/>
      <w:spacing w:before="100" w:beforeAutospacing="1" w:after="100" w:afterAutospacing="1" w:line="465" w:lineRule="atLeast"/>
      <w:jc w:val="left"/>
    </w:pPr>
    <w:rPr>
      <w:rFonts w:ascii="宋体" w:hAnsi="宋体" w:cs="宋体"/>
      <w:b/>
      <w:bCs/>
      <w:color w:val="CC0000"/>
      <w:kern w:val="0"/>
    </w:rPr>
  </w:style>
  <w:style w:type="paragraph" w:customStyle="1" w:styleId="126">
    <w:name w:val="top_clear1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27">
    <w:name w:val="titlefont1"/>
    <w:basedOn w:val="1"/>
    <w:qFormat/>
    <w:uiPriority w:val="99"/>
    <w:pPr>
      <w:widowControl/>
      <w:spacing w:before="100" w:beforeAutospacing="1" w:after="100" w:afterAutospacing="1" w:line="525" w:lineRule="atLeast"/>
      <w:jc w:val="center"/>
    </w:pPr>
    <w:rPr>
      <w:rFonts w:ascii="宋体" w:hAnsi="宋体" w:cs="宋体"/>
      <w:color w:val="7A531C"/>
      <w:kern w:val="0"/>
      <w:sz w:val="18"/>
      <w:szCs w:val="18"/>
    </w:rPr>
  </w:style>
  <w:style w:type="paragraph" w:customStyle="1" w:styleId="128">
    <w:name w:val="hj-easyread-icons"/>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29">
    <w:name w:val="newspic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30">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31">
    <w:name w:val="smooth-lf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32">
    <w:name w:val="search1"/>
    <w:basedOn w:val="1"/>
    <w:qFormat/>
    <w:uiPriority w:val="99"/>
    <w:pPr>
      <w:widowControl/>
      <w:spacing w:line="660" w:lineRule="atLeast"/>
      <w:jc w:val="left"/>
    </w:pPr>
    <w:rPr>
      <w:rFonts w:ascii="宋体" w:hAnsi="宋体" w:cs="宋体"/>
      <w:kern w:val="0"/>
      <w:sz w:val="24"/>
      <w:szCs w:val="24"/>
    </w:rPr>
  </w:style>
  <w:style w:type="paragraph" w:customStyle="1" w:styleId="133">
    <w:name w:val="rightnews"/>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34">
    <w:name w:val="date"/>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135">
    <w:name w:val="font13"/>
    <w:qFormat/>
    <w:uiPriority w:val="0"/>
    <w:rPr>
      <w:rFonts w:hint="default" w:ascii="Times New Roman" w:hAnsi="Times New Roman" w:cs="Times New Roman"/>
      <w:color w:val="000000"/>
      <w:sz w:val="24"/>
      <w:szCs w:val="24"/>
      <w:u w:val="none"/>
    </w:rPr>
  </w:style>
  <w:style w:type="character" w:customStyle="1" w:styleId="136">
    <w:name w:val="font01"/>
    <w:qFormat/>
    <w:uiPriority w:val="0"/>
    <w:rPr>
      <w:rFonts w:hint="eastAsia" w:ascii="宋体" w:hAnsi="宋体" w:eastAsia="宋体" w:cs="宋体"/>
      <w:color w:val="000000"/>
      <w:sz w:val="24"/>
      <w:szCs w:val="24"/>
      <w:u w:val="none"/>
    </w:rPr>
  </w:style>
  <w:style w:type="character" w:customStyle="1" w:styleId="137">
    <w:name w:val="font91"/>
    <w:qFormat/>
    <w:uiPriority w:val="0"/>
    <w:rPr>
      <w:rFonts w:hint="eastAsia" w:ascii="宋体" w:hAnsi="宋体" w:eastAsia="宋体" w:cs="宋体"/>
      <w:b/>
      <w:bCs/>
      <w:color w:val="000000"/>
      <w:sz w:val="22"/>
      <w:szCs w:val="22"/>
      <w:u w:val="none"/>
    </w:rPr>
  </w:style>
  <w:style w:type="character" w:customStyle="1" w:styleId="138">
    <w:name w:val="font111"/>
    <w:qFormat/>
    <w:uiPriority w:val="0"/>
    <w:rPr>
      <w:rFonts w:hint="eastAsia" w:ascii="仿宋" w:hAnsi="仿宋" w:eastAsia="仿宋" w:cs="仿宋"/>
      <w:color w:val="000000"/>
      <w:sz w:val="22"/>
      <w:szCs w:val="22"/>
      <w:u w:val="none"/>
    </w:rPr>
  </w:style>
  <w:style w:type="character" w:customStyle="1" w:styleId="139">
    <w:name w:val="font61"/>
    <w:qFormat/>
    <w:uiPriority w:val="0"/>
    <w:rPr>
      <w:rFonts w:hint="default" w:ascii="Times New Roman" w:hAnsi="Times New Roman" w:cs="Times New Roman"/>
      <w:color w:val="000000"/>
      <w:sz w:val="22"/>
      <w:szCs w:val="22"/>
      <w:u w:val="none"/>
    </w:rPr>
  </w:style>
  <w:style w:type="character" w:customStyle="1" w:styleId="140">
    <w:name w:val="font121"/>
    <w:qFormat/>
    <w:uiPriority w:val="0"/>
    <w:rPr>
      <w:rFonts w:hint="eastAsia" w:ascii="宋体" w:hAnsi="宋体" w:eastAsia="宋体" w:cs="宋体"/>
      <w:color w:val="000000"/>
      <w:sz w:val="22"/>
      <w:szCs w:val="22"/>
      <w:u w:val="none"/>
    </w:rPr>
  </w:style>
  <w:style w:type="character" w:customStyle="1" w:styleId="141">
    <w:name w:val="font21"/>
    <w:qFormat/>
    <w:uiPriority w:val="0"/>
    <w:rPr>
      <w:rFonts w:hint="default" w:ascii="Times New Roman" w:hAnsi="Times New Roman" w:cs="Times New Roman"/>
      <w:b/>
      <w:bCs/>
      <w:color w:val="000000"/>
      <w:sz w:val="22"/>
      <w:szCs w:val="22"/>
      <w:u w:val="none"/>
    </w:rPr>
  </w:style>
  <w:style w:type="character" w:customStyle="1" w:styleId="142">
    <w:name w:val="font141"/>
    <w:qFormat/>
    <w:uiPriority w:val="0"/>
    <w:rPr>
      <w:rFonts w:hint="default" w:ascii="Times New Roman" w:hAnsi="Times New Roman" w:cs="Times New Roman"/>
      <w:color w:val="000000"/>
      <w:sz w:val="20"/>
      <w:szCs w:val="20"/>
      <w:u w:val="none"/>
    </w:rPr>
  </w:style>
  <w:style w:type="character" w:customStyle="1" w:styleId="143">
    <w:name w:val="font132"/>
    <w:qFormat/>
    <w:uiPriority w:val="0"/>
    <w:rPr>
      <w:rFonts w:hint="eastAsia" w:ascii="仿宋" w:hAnsi="仿宋" w:eastAsia="仿宋" w:cs="仿宋"/>
      <w:color w:val="000000"/>
      <w:sz w:val="20"/>
      <w:szCs w:val="20"/>
      <w:u w:val="none"/>
    </w:rPr>
  </w:style>
  <w:style w:type="character" w:customStyle="1" w:styleId="144">
    <w:name w:val="font11"/>
    <w:qFormat/>
    <w:uiPriority w:val="0"/>
    <w:rPr>
      <w:rFonts w:hint="default" w:ascii="Times New Roman" w:hAnsi="Times New Roman" w:cs="Times New Roman"/>
      <w:color w:val="000000"/>
      <w:sz w:val="22"/>
      <w:szCs w:val="22"/>
      <w:u w:val="none"/>
    </w:rPr>
  </w:style>
  <w:style w:type="character" w:customStyle="1" w:styleId="145">
    <w:name w:val="font41"/>
    <w:qFormat/>
    <w:uiPriority w:val="0"/>
    <w:rPr>
      <w:rFonts w:hint="eastAsia" w:ascii="仿宋" w:hAnsi="仿宋" w:eastAsia="仿宋" w:cs="仿宋"/>
      <w:color w:val="000000"/>
      <w:sz w:val="22"/>
      <w:szCs w:val="22"/>
      <w:u w:val="none"/>
    </w:rPr>
  </w:style>
  <w:style w:type="character" w:customStyle="1" w:styleId="146">
    <w:name w:val="font151"/>
    <w:qFormat/>
    <w:uiPriority w:val="0"/>
    <w:rPr>
      <w:rFonts w:hint="eastAsia" w:ascii="宋体" w:hAnsi="宋体" w:eastAsia="宋体" w:cs="宋体"/>
      <w:color w:val="000000"/>
      <w:sz w:val="22"/>
      <w:szCs w:val="22"/>
      <w:u w:val="none"/>
    </w:rPr>
  </w:style>
  <w:style w:type="character" w:customStyle="1" w:styleId="147">
    <w:name w:val="font101"/>
    <w:qFormat/>
    <w:uiPriority w:val="0"/>
    <w:rPr>
      <w:rFonts w:hint="default" w:ascii="Times New Roman" w:hAnsi="Times New Roman" w:cs="Times New Roman"/>
      <w:color w:val="000000"/>
      <w:sz w:val="22"/>
      <w:szCs w:val="22"/>
      <w:u w:val="none"/>
    </w:rPr>
  </w:style>
  <w:style w:type="character" w:customStyle="1" w:styleId="148">
    <w:name w:val="font161"/>
    <w:qFormat/>
    <w:uiPriority w:val="0"/>
    <w:rPr>
      <w:rFonts w:hint="eastAsia" w:ascii="仿宋" w:hAnsi="仿宋" w:eastAsia="仿宋" w:cs="仿宋"/>
      <w:b/>
      <w:bCs/>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9070</Words>
  <Characters>9722</Characters>
  <Lines>74</Lines>
  <Paragraphs>20</Paragraphs>
  <TotalTime>67</TotalTime>
  <ScaleCrop>false</ScaleCrop>
  <LinksUpToDate>false</LinksUpToDate>
  <CharactersWithSpaces>9936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2020-08-04T09:42:00Z</dcterms:created>
  <dc:creator>ASUS</dc:creator>
  <cp:lastModifiedBy>畏小瑋</cp:lastModifiedBy>
  <cp:lastPrinted>2023-09-25T02:47:00Z</cp:lastPrinted>
  <dcterms:modified xsi:type="dcterms:W3CDTF">2026-10-14T01:30:07Z</dcterms:modified>
  <dc:title>2014年度常德市社会劳动保险处</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2EDDA5E06EC84E47969AEAB72025F3C7_13</vt:lpwstr>
  </property>
  <property fmtid="{D5CDD505-2E9C-101B-9397-08002B2CF9AE}" pid="4" name="KSOTemplateDocerSaveRecord">
    <vt:lpwstr>eyJoZGlkIjoiNDA2Y2I0Y2VkNzFjMWI1ZTQ2MTlkYWZmODE3ZTc0MGQiLCJ1c2VySWQiOiIyNzExNzE4NiJ9</vt:lpwstr>
  </property>
</Properties>
</file>